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w:t>眉山市职工医疗保险与生育保险</w:t>
      </w:r>
    </w:p>
    <w:p>
      <w:pPr>
        <w:spacing w:line="580" w:lineRule="exact"/>
        <w:jc w:val="center"/>
        <w:rPr>
          <w:rFonts w:hint="eastAsia" w:eastAsia="方正小标宋简体"/>
          <w:sz w:val="44"/>
          <w:szCs w:val="44"/>
          <w:lang w:eastAsia="zh-CN"/>
        </w:rPr>
      </w:pPr>
      <w:r>
        <w:rPr>
          <w:rFonts w:eastAsia="方正小标宋简体"/>
          <w:sz w:val="44"/>
          <w:szCs w:val="44"/>
        </w:rPr>
        <w:t>业务经办规程</w:t>
      </w:r>
      <w:r>
        <w:rPr>
          <w:rFonts w:hint="eastAsia" w:eastAsia="方正小标宋简体"/>
          <w:sz w:val="44"/>
          <w:szCs w:val="44"/>
          <w:lang w:eastAsia="zh-CN"/>
        </w:rPr>
        <w:t>（征求意见稿）</w:t>
      </w:r>
    </w:p>
    <w:p>
      <w:pPr>
        <w:spacing w:line="580" w:lineRule="exact"/>
        <w:jc w:val="center"/>
        <w:rPr>
          <w:rFonts w:eastAsia="方正小标宋简体"/>
        </w:rPr>
      </w:pPr>
    </w:p>
    <w:p>
      <w:pPr>
        <w:spacing w:line="580" w:lineRule="exact"/>
        <w:ind w:firstLine="645"/>
        <w:rPr>
          <w:rFonts w:eastAsia="仿宋_GB2312"/>
          <w:kern w:val="0"/>
          <w:sz w:val="32"/>
          <w:szCs w:val="32"/>
        </w:rPr>
      </w:pPr>
      <w:r>
        <w:rPr>
          <w:rFonts w:eastAsia="仿宋_GB2312"/>
          <w:kern w:val="0"/>
          <w:sz w:val="32"/>
          <w:szCs w:val="32"/>
        </w:rPr>
        <w:t>为加强我市职工医疗保险与生育保险经办业务管理，建立规范化、标准化、制度化的经办业务操作流程，根据《</w:t>
      </w:r>
      <w:r>
        <w:rPr>
          <w:rFonts w:eastAsia="仿宋_GB2312"/>
          <w:sz w:val="32"/>
          <w:szCs w:val="32"/>
        </w:rPr>
        <w:t>中华人民共和国</w:t>
      </w:r>
      <w:r>
        <w:rPr>
          <w:rFonts w:eastAsia="仿宋_GB2312"/>
          <w:kern w:val="0"/>
          <w:sz w:val="32"/>
          <w:szCs w:val="32"/>
        </w:rPr>
        <w:t>社会保险法》、《社会保险费申报缴纳管理规定》（人社部20号令）、《眉山市职工医疗保险与生育保险管理办法》</w:t>
      </w:r>
      <w:r>
        <w:rPr>
          <w:rFonts w:eastAsia="仿宋_GB2312"/>
          <w:spacing w:val="2"/>
          <w:sz w:val="32"/>
          <w:szCs w:val="32"/>
        </w:rPr>
        <w:t>（眉府办发〔2020〕3号）</w:t>
      </w:r>
      <w:r>
        <w:rPr>
          <w:rFonts w:eastAsia="仿宋_GB2312"/>
          <w:sz w:val="32"/>
          <w:szCs w:val="32"/>
        </w:rPr>
        <w:t>等法律法规及相关政策</w:t>
      </w:r>
      <w:r>
        <w:rPr>
          <w:rFonts w:eastAsia="仿宋_GB2312"/>
          <w:kern w:val="0"/>
          <w:sz w:val="32"/>
          <w:szCs w:val="32"/>
        </w:rPr>
        <w:t>，结合我市实际制定本规程。</w:t>
      </w:r>
    </w:p>
    <w:p>
      <w:pPr>
        <w:spacing w:line="580" w:lineRule="exact"/>
        <w:ind w:firstLine="645"/>
        <w:rPr>
          <w:rFonts w:eastAsia="仿宋"/>
          <w:kern w:val="0"/>
          <w:sz w:val="32"/>
          <w:szCs w:val="32"/>
        </w:rPr>
      </w:pPr>
    </w:p>
    <w:p>
      <w:pPr>
        <w:spacing w:line="580" w:lineRule="exact"/>
        <w:ind w:firstLine="645"/>
        <w:jc w:val="center"/>
        <w:rPr>
          <w:rFonts w:eastAsia="黑体"/>
          <w:kern w:val="0"/>
          <w:sz w:val="32"/>
          <w:szCs w:val="32"/>
        </w:rPr>
      </w:pPr>
      <w:r>
        <w:rPr>
          <w:rFonts w:eastAsia="黑体"/>
          <w:kern w:val="0"/>
          <w:sz w:val="32"/>
          <w:szCs w:val="32"/>
        </w:rPr>
        <w:t>第一章  征缴及个人账户管理</w:t>
      </w:r>
    </w:p>
    <w:p>
      <w:pPr>
        <w:spacing w:line="580" w:lineRule="exact"/>
        <w:ind w:firstLine="643" w:firstLineChars="200"/>
        <w:rPr>
          <w:rFonts w:eastAsia="楷体_GB2312"/>
          <w:b/>
          <w:kern w:val="0"/>
          <w:sz w:val="32"/>
          <w:szCs w:val="32"/>
        </w:rPr>
      </w:pPr>
      <w:r>
        <w:rPr>
          <w:rFonts w:eastAsia="楷体_GB2312"/>
          <w:b/>
          <w:bCs/>
          <w:kern w:val="0"/>
          <w:sz w:val="32"/>
          <w:szCs w:val="32"/>
        </w:rPr>
        <w:t>一、</w:t>
      </w:r>
      <w:r>
        <w:rPr>
          <w:rFonts w:eastAsia="楷体_GB2312"/>
          <w:b/>
          <w:kern w:val="0"/>
          <w:sz w:val="32"/>
          <w:szCs w:val="32"/>
        </w:rPr>
        <w:t>参保登记</w:t>
      </w:r>
    </w:p>
    <w:p>
      <w:pPr>
        <w:widowControl/>
        <w:shd w:val="clear" w:color="auto" w:fill="FFFFFF"/>
        <w:spacing w:line="580" w:lineRule="exact"/>
        <w:ind w:firstLine="643" w:firstLineChars="200"/>
        <w:jc w:val="left"/>
        <w:rPr>
          <w:rFonts w:eastAsia="仿宋_GB2312"/>
          <w:b/>
          <w:bCs/>
          <w:kern w:val="0"/>
          <w:sz w:val="32"/>
          <w:szCs w:val="32"/>
        </w:rPr>
      </w:pPr>
      <w:r>
        <w:rPr>
          <w:rFonts w:eastAsia="仿宋_GB2312"/>
          <w:b/>
          <w:bCs/>
          <w:kern w:val="0"/>
          <w:sz w:val="32"/>
          <w:szCs w:val="32"/>
        </w:rPr>
        <w:t>（一）单位参保登记</w:t>
      </w:r>
    </w:p>
    <w:p>
      <w:pPr>
        <w:widowControl/>
        <w:shd w:val="clear" w:color="auto" w:fill="FFFFFF"/>
        <w:spacing w:line="580" w:lineRule="exact"/>
        <w:ind w:firstLine="643"/>
        <w:rPr>
          <w:rFonts w:eastAsia="仿宋_GB2312"/>
          <w:b/>
          <w:color w:val="000000"/>
          <w:kern w:val="0"/>
          <w:sz w:val="32"/>
          <w:szCs w:val="32"/>
        </w:rPr>
      </w:pPr>
      <w:r>
        <w:rPr>
          <w:rFonts w:hint="eastAsia" w:eastAsia="仿宋_GB2312"/>
          <w:kern w:val="0"/>
          <w:sz w:val="32"/>
          <w:szCs w:val="32"/>
        </w:rPr>
        <w:t>1.</w:t>
      </w:r>
      <w:r>
        <w:rPr>
          <w:rFonts w:eastAsia="仿宋_GB2312"/>
          <w:kern w:val="0"/>
          <w:sz w:val="32"/>
          <w:szCs w:val="32"/>
        </w:rPr>
        <w:t>职工基</w:t>
      </w:r>
      <w:r>
        <w:rPr>
          <w:rFonts w:eastAsia="仿宋_GB2312"/>
          <w:color w:val="000000"/>
          <w:kern w:val="0"/>
          <w:sz w:val="32"/>
          <w:szCs w:val="32"/>
        </w:rPr>
        <w:t>本医疗保险与生育保险登记实行属地管理原则。我市区域内所有用人单位应当自成立之日起30日内凭营业执照、登记证书及单位印章，向当地医保经办机构申请办理职工基本医疗保险与生育保险登记；并严格按照《社会保险法》，为全体职工办理参保登记、缴费申报等。</w:t>
      </w:r>
    </w:p>
    <w:p>
      <w:pPr>
        <w:widowControl/>
        <w:shd w:val="clear" w:color="auto" w:fill="FFFFFF"/>
        <w:spacing w:line="580" w:lineRule="exact"/>
        <w:ind w:firstLine="643"/>
        <w:rPr>
          <w:rFonts w:eastAsia="仿宋_GB2312"/>
          <w:kern w:val="0"/>
          <w:sz w:val="32"/>
          <w:szCs w:val="32"/>
        </w:rPr>
      </w:pPr>
      <w:r>
        <w:rPr>
          <w:rFonts w:hint="eastAsia" w:eastAsia="仿宋_GB2312"/>
          <w:color w:val="000000"/>
          <w:kern w:val="0"/>
          <w:sz w:val="32"/>
          <w:szCs w:val="32"/>
        </w:rPr>
        <w:t>2.</w:t>
      </w:r>
      <w:r>
        <w:rPr>
          <w:rFonts w:eastAsia="仿宋_GB2312"/>
          <w:color w:val="000000"/>
          <w:kern w:val="0"/>
          <w:sz w:val="32"/>
          <w:szCs w:val="32"/>
        </w:rPr>
        <w:t>参保单位申请办理职工基本医疗保险与生育保险登记时，应填报《组织新登记信息情况表（单位）》和《眉山市职工医疗与生育保险参保单位申报表》（增减员表），同时提供以下证件</w:t>
      </w:r>
      <w:r>
        <w:rPr>
          <w:rFonts w:eastAsia="仿宋_GB2312"/>
          <w:kern w:val="0"/>
          <w:sz w:val="32"/>
          <w:szCs w:val="32"/>
        </w:rPr>
        <w:t>和资料：</w:t>
      </w:r>
    </w:p>
    <w:p>
      <w:pPr>
        <w:widowControl/>
        <w:shd w:val="clear" w:color="auto" w:fill="FFFFFF"/>
        <w:spacing w:line="580" w:lineRule="exact"/>
        <w:ind w:firstLine="643"/>
        <w:rPr>
          <w:rFonts w:eastAsia="仿宋_GB2312"/>
          <w:kern w:val="0"/>
          <w:sz w:val="32"/>
          <w:szCs w:val="32"/>
        </w:rPr>
      </w:pPr>
      <w:r>
        <w:rPr>
          <w:rFonts w:eastAsia="仿宋_GB2312"/>
          <w:kern w:val="0"/>
          <w:sz w:val="32"/>
          <w:szCs w:val="32"/>
        </w:rPr>
        <w:t>（1）法人证书、组织机构代码证书、营业执照复印件；</w:t>
      </w:r>
    </w:p>
    <w:p>
      <w:pPr>
        <w:widowControl/>
        <w:shd w:val="clear" w:color="auto" w:fill="FFFFFF"/>
        <w:spacing w:line="580" w:lineRule="exact"/>
        <w:ind w:firstLine="643"/>
        <w:rPr>
          <w:rFonts w:eastAsia="仿宋_GB2312"/>
          <w:kern w:val="0"/>
          <w:sz w:val="32"/>
          <w:szCs w:val="32"/>
        </w:rPr>
      </w:pPr>
      <w:r>
        <w:rPr>
          <w:rFonts w:eastAsia="仿宋_GB2312"/>
          <w:kern w:val="0"/>
          <w:sz w:val="32"/>
          <w:szCs w:val="32"/>
        </w:rPr>
        <w:t>（2）法人代表身份证复印件；</w:t>
      </w:r>
    </w:p>
    <w:p>
      <w:pPr>
        <w:widowControl/>
        <w:shd w:val="clear" w:color="auto" w:fill="FFFFFF"/>
        <w:spacing w:line="580" w:lineRule="exact"/>
        <w:ind w:firstLine="643"/>
        <w:rPr>
          <w:rFonts w:eastAsia="仿宋_GB2312"/>
          <w:kern w:val="0"/>
          <w:sz w:val="32"/>
          <w:szCs w:val="32"/>
        </w:rPr>
      </w:pPr>
      <w:r>
        <w:rPr>
          <w:rFonts w:eastAsia="仿宋_GB2312"/>
          <w:kern w:val="0"/>
          <w:sz w:val="32"/>
          <w:szCs w:val="32"/>
        </w:rPr>
        <w:t>（3）单位职工工资发放花名册（职工签字）；</w:t>
      </w:r>
    </w:p>
    <w:p>
      <w:pPr>
        <w:widowControl/>
        <w:shd w:val="clear" w:color="auto" w:fill="FFFFFF"/>
        <w:spacing w:line="580" w:lineRule="exact"/>
        <w:ind w:firstLine="643"/>
        <w:rPr>
          <w:rFonts w:eastAsia="仿宋_GB2312"/>
          <w:kern w:val="0"/>
          <w:sz w:val="32"/>
          <w:szCs w:val="32"/>
        </w:rPr>
      </w:pPr>
      <w:r>
        <w:rPr>
          <w:rFonts w:eastAsia="仿宋_GB2312"/>
          <w:kern w:val="0"/>
          <w:sz w:val="32"/>
          <w:szCs w:val="32"/>
        </w:rPr>
        <w:t>（4）医保经办机构规定的其他材料。</w:t>
      </w:r>
    </w:p>
    <w:p>
      <w:pPr>
        <w:widowControl/>
        <w:spacing w:line="580" w:lineRule="exact"/>
        <w:ind w:firstLine="640" w:firstLineChars="200"/>
        <w:rPr>
          <w:rFonts w:eastAsia="仿宋_GB2312"/>
          <w:kern w:val="0"/>
          <w:sz w:val="32"/>
          <w:szCs w:val="32"/>
        </w:rPr>
      </w:pPr>
      <w:r>
        <w:rPr>
          <w:rFonts w:eastAsia="仿宋_GB2312"/>
          <w:kern w:val="0"/>
          <w:sz w:val="32"/>
          <w:szCs w:val="32"/>
        </w:rPr>
        <w:t xml:space="preserve">3.医保经办机构应在10个工作日内审核完成，符合参保条件的及时登记、录入医保信息系统；未通过审核，应向申请人说明原因。 </w:t>
      </w:r>
    </w:p>
    <w:p>
      <w:pPr>
        <w:widowControl/>
        <w:shd w:val="clear" w:color="auto" w:fill="FFFFFF"/>
        <w:spacing w:line="580" w:lineRule="exact"/>
        <w:ind w:firstLine="643"/>
        <w:rPr>
          <w:rFonts w:eastAsia="仿宋_GB2312"/>
          <w:bCs/>
          <w:kern w:val="0"/>
          <w:sz w:val="32"/>
          <w:szCs w:val="32"/>
        </w:rPr>
      </w:pPr>
      <w:r>
        <w:rPr>
          <w:rFonts w:eastAsia="仿宋_GB2312"/>
          <w:kern w:val="0"/>
          <w:sz w:val="32"/>
          <w:szCs w:val="32"/>
        </w:rPr>
        <w:t>4.</w:t>
      </w:r>
      <w:r>
        <w:rPr>
          <w:rFonts w:eastAsia="仿宋_GB2312"/>
          <w:bCs/>
          <w:kern w:val="0"/>
          <w:sz w:val="32"/>
          <w:szCs w:val="32"/>
        </w:rPr>
        <w:t>用人单位不办理职工基本医疗保</w:t>
      </w:r>
      <w:r>
        <w:rPr>
          <w:rFonts w:eastAsia="仿宋_GB2312"/>
          <w:bCs/>
          <w:color w:val="000000"/>
          <w:kern w:val="0"/>
          <w:sz w:val="32"/>
          <w:szCs w:val="32"/>
        </w:rPr>
        <w:t>险</w:t>
      </w:r>
      <w:r>
        <w:rPr>
          <w:rFonts w:eastAsia="仿宋_GB2312"/>
          <w:color w:val="000000"/>
          <w:kern w:val="0"/>
          <w:sz w:val="32"/>
          <w:szCs w:val="32"/>
        </w:rPr>
        <w:t>与生育保险</w:t>
      </w:r>
      <w:r>
        <w:rPr>
          <w:rFonts w:eastAsia="仿宋_GB2312"/>
          <w:bCs/>
          <w:color w:val="000000"/>
          <w:kern w:val="0"/>
          <w:sz w:val="32"/>
          <w:szCs w:val="32"/>
        </w:rPr>
        <w:t>登记的，由社会保险行政部门责令限期改正；逾期不改正，由行政</w:t>
      </w:r>
      <w:r>
        <w:rPr>
          <w:rFonts w:eastAsia="仿宋_GB2312"/>
          <w:bCs/>
          <w:kern w:val="0"/>
          <w:sz w:val="32"/>
          <w:szCs w:val="32"/>
        </w:rPr>
        <w:t>部门依法处理。</w:t>
      </w:r>
    </w:p>
    <w:p>
      <w:pPr>
        <w:widowControl/>
        <w:shd w:val="clear" w:color="auto" w:fill="FFFFFF"/>
        <w:spacing w:line="580" w:lineRule="exact"/>
        <w:ind w:firstLine="643"/>
        <w:jc w:val="left"/>
        <w:rPr>
          <w:rFonts w:eastAsia="仿宋_GB2312"/>
          <w:b/>
          <w:kern w:val="0"/>
          <w:sz w:val="32"/>
          <w:szCs w:val="32"/>
        </w:rPr>
      </w:pPr>
      <w:r>
        <w:rPr>
          <w:rFonts w:eastAsia="仿宋_GB2312"/>
          <w:b/>
          <w:kern w:val="0"/>
          <w:sz w:val="32"/>
          <w:szCs w:val="32"/>
        </w:rPr>
        <w:t>（二）灵活就业人员参保登记</w:t>
      </w:r>
    </w:p>
    <w:p>
      <w:pPr>
        <w:widowControl/>
        <w:shd w:val="clear" w:color="auto" w:fill="FFFFFF"/>
        <w:spacing w:line="580" w:lineRule="exact"/>
        <w:ind w:firstLine="640"/>
        <w:rPr>
          <w:rFonts w:eastAsia="仿宋_GB2312"/>
          <w:kern w:val="0"/>
          <w:sz w:val="32"/>
          <w:szCs w:val="32"/>
        </w:rPr>
      </w:pPr>
      <w:r>
        <w:rPr>
          <w:rFonts w:eastAsia="仿宋_GB2312"/>
          <w:kern w:val="0"/>
          <w:sz w:val="32"/>
          <w:szCs w:val="32"/>
        </w:rPr>
        <w:t>1.我市区域内未达到法定退休年龄的灵活就业人员，可以参加职工基本医疗保险。</w:t>
      </w:r>
    </w:p>
    <w:p>
      <w:pPr>
        <w:widowControl/>
        <w:shd w:val="clear" w:color="auto" w:fill="FFFFFF"/>
        <w:spacing w:line="580" w:lineRule="exact"/>
        <w:ind w:firstLine="640"/>
        <w:rPr>
          <w:rFonts w:eastAsia="仿宋_GB2312"/>
          <w:kern w:val="0"/>
          <w:sz w:val="32"/>
          <w:szCs w:val="32"/>
        </w:rPr>
      </w:pPr>
      <w:r>
        <w:rPr>
          <w:rFonts w:eastAsia="仿宋_GB2312"/>
          <w:kern w:val="0"/>
          <w:sz w:val="32"/>
          <w:szCs w:val="32"/>
        </w:rPr>
        <w:t>2.新参保的灵活就业人员（含已参保但中断缴费6个月以上的灵活就业人员）应参加健康检查。患有</w:t>
      </w:r>
      <w:r>
        <w:rPr>
          <w:rFonts w:eastAsia="仿宋_GB2312"/>
          <w:color w:val="000000"/>
          <w:sz w:val="32"/>
          <w:szCs w:val="32"/>
        </w:rPr>
        <w:t>Ⅱ类门诊特殊疾病病种的</w:t>
      </w:r>
      <w:r>
        <w:rPr>
          <w:rFonts w:eastAsia="仿宋_GB2312"/>
          <w:kern w:val="0"/>
          <w:sz w:val="32"/>
          <w:szCs w:val="32"/>
        </w:rPr>
        <w:t>灵活就业人员暂缓纳入我市职工基本医疗保险新进参保范围。</w:t>
      </w:r>
    </w:p>
    <w:p>
      <w:pPr>
        <w:widowControl/>
        <w:shd w:val="clear" w:color="auto" w:fill="FFFFFF"/>
        <w:spacing w:line="580" w:lineRule="exact"/>
        <w:ind w:firstLine="640"/>
        <w:rPr>
          <w:rFonts w:eastAsia="仿宋_GB2312"/>
          <w:kern w:val="0"/>
          <w:sz w:val="32"/>
          <w:szCs w:val="32"/>
        </w:rPr>
      </w:pPr>
      <w:r>
        <w:rPr>
          <w:rFonts w:eastAsia="仿宋_GB2312"/>
          <w:kern w:val="0"/>
          <w:sz w:val="32"/>
          <w:szCs w:val="32"/>
        </w:rPr>
        <w:t>3.新参保的灵活就业人员，应填报《组织新登记信息情况表（个人）》，同时提供以下证件和资料：</w:t>
      </w:r>
    </w:p>
    <w:p>
      <w:pPr>
        <w:widowControl/>
        <w:shd w:val="clear" w:color="auto" w:fill="FFFFFF"/>
        <w:spacing w:line="580" w:lineRule="exact"/>
        <w:ind w:firstLine="640"/>
        <w:rPr>
          <w:rFonts w:eastAsia="仿宋_GB2312"/>
          <w:kern w:val="0"/>
          <w:sz w:val="32"/>
          <w:szCs w:val="32"/>
        </w:rPr>
      </w:pPr>
      <w:r>
        <w:rPr>
          <w:rFonts w:eastAsia="仿宋_GB2312"/>
          <w:kern w:val="0"/>
          <w:sz w:val="32"/>
          <w:szCs w:val="32"/>
        </w:rPr>
        <w:t>（1）本人身份证复印件；</w:t>
      </w:r>
    </w:p>
    <w:p>
      <w:pPr>
        <w:widowControl/>
        <w:shd w:val="clear" w:color="auto" w:fill="FFFFFF"/>
        <w:spacing w:line="580" w:lineRule="exact"/>
        <w:ind w:firstLine="640"/>
        <w:rPr>
          <w:rFonts w:eastAsia="仿宋_GB2312"/>
          <w:kern w:val="0"/>
          <w:sz w:val="32"/>
          <w:szCs w:val="32"/>
        </w:rPr>
      </w:pPr>
      <w:r>
        <w:rPr>
          <w:rFonts w:eastAsia="仿宋_GB2312"/>
          <w:kern w:val="0"/>
          <w:sz w:val="32"/>
          <w:szCs w:val="32"/>
        </w:rPr>
        <w:t>（2）在设立了体检科的医疗机构进行健康检查的报告。</w:t>
      </w:r>
    </w:p>
    <w:p>
      <w:pPr>
        <w:widowControl/>
        <w:shd w:val="clear" w:color="auto" w:fill="FFFFFF"/>
        <w:spacing w:line="580" w:lineRule="exact"/>
        <w:ind w:firstLine="640"/>
        <w:rPr>
          <w:rFonts w:eastAsia="仿宋_GB2312"/>
          <w:kern w:val="0"/>
          <w:sz w:val="32"/>
          <w:szCs w:val="32"/>
        </w:rPr>
      </w:pPr>
      <w:r>
        <w:rPr>
          <w:rFonts w:eastAsia="仿宋_GB2312"/>
          <w:kern w:val="0"/>
          <w:sz w:val="32"/>
          <w:szCs w:val="32"/>
        </w:rPr>
        <w:t>4.医保经办机构应对符合参保条件的即时登记、录入医保信息系统；未通过审核，应向申请人说明原因。</w:t>
      </w:r>
    </w:p>
    <w:p>
      <w:pPr>
        <w:spacing w:line="580" w:lineRule="exact"/>
        <w:ind w:firstLine="640" w:firstLineChars="200"/>
        <w:rPr>
          <w:rFonts w:eastAsia="仿宋_GB2312"/>
          <w:kern w:val="0"/>
          <w:sz w:val="32"/>
          <w:szCs w:val="32"/>
        </w:rPr>
      </w:pPr>
      <w:r>
        <w:rPr>
          <w:rFonts w:eastAsia="仿宋_GB2312"/>
          <w:kern w:val="0"/>
          <w:sz w:val="32"/>
          <w:szCs w:val="32"/>
        </w:rPr>
        <w:t>5.新参保的灵活就业人员自缴费之月起第7个月开始享受基本医疗保险待遇。</w:t>
      </w:r>
    </w:p>
    <w:p>
      <w:pPr>
        <w:widowControl/>
        <w:shd w:val="clear" w:color="auto" w:fill="FFFFFF"/>
        <w:spacing w:line="580" w:lineRule="exact"/>
        <w:ind w:firstLine="640"/>
        <w:jc w:val="left"/>
        <w:rPr>
          <w:rFonts w:eastAsia="仿宋_GB2312"/>
          <w:b/>
          <w:kern w:val="0"/>
          <w:sz w:val="32"/>
          <w:szCs w:val="32"/>
        </w:rPr>
      </w:pPr>
      <w:r>
        <w:rPr>
          <w:rFonts w:eastAsia="仿宋_GB2312"/>
          <w:b/>
          <w:kern w:val="0"/>
          <w:sz w:val="32"/>
          <w:szCs w:val="32"/>
        </w:rPr>
        <w:t>（三）变更登记</w:t>
      </w:r>
    </w:p>
    <w:p>
      <w:pPr>
        <w:widowControl/>
        <w:shd w:val="clear" w:color="auto" w:fill="FFFFFF"/>
        <w:spacing w:line="580" w:lineRule="exact"/>
        <w:ind w:firstLine="643"/>
        <w:jc w:val="left"/>
        <w:rPr>
          <w:rFonts w:eastAsia="仿宋_GB2312"/>
          <w:kern w:val="0"/>
          <w:sz w:val="32"/>
          <w:szCs w:val="32"/>
        </w:rPr>
      </w:pPr>
      <w:r>
        <w:rPr>
          <w:rFonts w:eastAsia="仿宋_GB2312"/>
          <w:kern w:val="0"/>
          <w:sz w:val="32"/>
          <w:szCs w:val="32"/>
        </w:rPr>
        <w:t>1.参保单位或参保人员信息变更，应在30日内持变更手续或本人身份证等到医保经办机构办理变更手续。</w:t>
      </w:r>
    </w:p>
    <w:p>
      <w:pPr>
        <w:widowControl/>
        <w:shd w:val="clear" w:color="auto" w:fill="FFFFFF"/>
        <w:spacing w:line="580" w:lineRule="exact"/>
        <w:ind w:firstLine="643"/>
        <w:jc w:val="left"/>
        <w:rPr>
          <w:rFonts w:eastAsia="仿宋_GB2312"/>
          <w:kern w:val="0"/>
          <w:sz w:val="32"/>
          <w:szCs w:val="32"/>
        </w:rPr>
      </w:pPr>
      <w:r>
        <w:rPr>
          <w:rFonts w:eastAsia="仿宋_GB2312"/>
          <w:kern w:val="0"/>
          <w:sz w:val="32"/>
          <w:szCs w:val="32"/>
        </w:rPr>
        <w:t>2.医保经办机构要即时验审材料，登记、录入医保信息系统，并留存相关材料；未通过审核，应向申请人说明原因。</w:t>
      </w:r>
    </w:p>
    <w:p>
      <w:pPr>
        <w:widowControl/>
        <w:shd w:val="clear" w:color="auto" w:fill="FFFFFF"/>
        <w:spacing w:line="580" w:lineRule="exact"/>
        <w:ind w:firstLine="643"/>
        <w:jc w:val="left"/>
        <w:rPr>
          <w:rFonts w:eastAsia="仿宋_GB2312"/>
          <w:b/>
          <w:kern w:val="0"/>
          <w:sz w:val="32"/>
          <w:szCs w:val="32"/>
        </w:rPr>
      </w:pPr>
      <w:r>
        <w:rPr>
          <w:rFonts w:eastAsia="仿宋_GB2312"/>
          <w:b/>
          <w:kern w:val="0"/>
          <w:sz w:val="32"/>
          <w:szCs w:val="32"/>
        </w:rPr>
        <w:t>（四）注销登记</w:t>
      </w:r>
    </w:p>
    <w:p>
      <w:pPr>
        <w:spacing w:line="580" w:lineRule="exact"/>
        <w:ind w:firstLine="640" w:firstLineChars="200"/>
        <w:rPr>
          <w:rFonts w:eastAsia="仿宋_GB2312"/>
          <w:kern w:val="0"/>
          <w:sz w:val="32"/>
          <w:szCs w:val="32"/>
        </w:rPr>
      </w:pPr>
      <w:r>
        <w:rPr>
          <w:rFonts w:eastAsia="仿宋_GB2312"/>
          <w:kern w:val="0"/>
          <w:sz w:val="32"/>
          <w:szCs w:val="32"/>
        </w:rPr>
        <w:t>1.参保单位发生解散、破产、撤销、合并、成建制转出、被吊销营业执照等情形，依法终止职工基</w:t>
      </w:r>
      <w:r>
        <w:rPr>
          <w:rFonts w:eastAsia="仿宋_GB2312"/>
          <w:color w:val="000000"/>
          <w:kern w:val="0"/>
          <w:sz w:val="32"/>
          <w:szCs w:val="32"/>
        </w:rPr>
        <w:t>本医疗保险与生育保险</w:t>
      </w:r>
      <w:r>
        <w:rPr>
          <w:rFonts w:eastAsia="仿宋_GB2312"/>
          <w:kern w:val="0"/>
          <w:sz w:val="32"/>
          <w:szCs w:val="32"/>
        </w:rPr>
        <w:t>关系时，应在30日内到医保经办机构申请注销登记。</w:t>
      </w:r>
    </w:p>
    <w:p>
      <w:pPr>
        <w:spacing w:line="580" w:lineRule="exact"/>
        <w:ind w:firstLine="640" w:firstLineChars="200"/>
        <w:rPr>
          <w:rFonts w:eastAsia="仿宋_GB2312"/>
          <w:kern w:val="0"/>
          <w:sz w:val="32"/>
          <w:szCs w:val="32"/>
        </w:rPr>
      </w:pPr>
      <w:r>
        <w:rPr>
          <w:rFonts w:eastAsia="仿宋_GB2312"/>
          <w:kern w:val="0"/>
          <w:sz w:val="32"/>
          <w:szCs w:val="32"/>
        </w:rPr>
        <w:t>2.注销登记应填报《</w:t>
      </w:r>
      <w:r>
        <w:rPr>
          <w:rFonts w:eastAsia="仿宋_GB2312"/>
          <w:sz w:val="32"/>
          <w:szCs w:val="32"/>
        </w:rPr>
        <w:t>组织信息变更情况表（单位）</w:t>
      </w:r>
      <w:r>
        <w:rPr>
          <w:rFonts w:eastAsia="仿宋_GB2312"/>
          <w:kern w:val="0"/>
          <w:sz w:val="32"/>
          <w:szCs w:val="32"/>
        </w:rPr>
        <w:t>》，同时提供以下证件和资料：</w:t>
      </w:r>
    </w:p>
    <w:p>
      <w:pPr>
        <w:spacing w:line="580" w:lineRule="exact"/>
        <w:ind w:firstLine="640" w:firstLineChars="200"/>
        <w:rPr>
          <w:rFonts w:eastAsia="仿宋_GB2312"/>
          <w:kern w:val="0"/>
          <w:sz w:val="32"/>
          <w:szCs w:val="32"/>
        </w:rPr>
      </w:pPr>
      <w:r>
        <w:rPr>
          <w:rFonts w:eastAsia="仿宋_GB2312"/>
          <w:kern w:val="0"/>
          <w:sz w:val="32"/>
          <w:szCs w:val="32"/>
        </w:rPr>
        <w:t>（1）注销通知书或有关部门批准的注销证明；</w:t>
      </w:r>
    </w:p>
    <w:p>
      <w:pPr>
        <w:spacing w:line="580" w:lineRule="exact"/>
        <w:ind w:firstLine="640" w:firstLineChars="200"/>
        <w:rPr>
          <w:rFonts w:eastAsia="仿宋_GB2312"/>
          <w:kern w:val="0"/>
          <w:sz w:val="32"/>
          <w:szCs w:val="32"/>
        </w:rPr>
      </w:pPr>
      <w:r>
        <w:rPr>
          <w:rFonts w:eastAsia="仿宋_GB2312"/>
          <w:kern w:val="0"/>
          <w:sz w:val="32"/>
          <w:szCs w:val="32"/>
        </w:rPr>
        <w:t>（2）法律裁定企业破产等法律文书；</w:t>
      </w:r>
    </w:p>
    <w:p>
      <w:pPr>
        <w:spacing w:line="580" w:lineRule="exact"/>
        <w:ind w:firstLine="640" w:firstLineChars="200"/>
        <w:rPr>
          <w:rFonts w:eastAsia="仿宋_GB2312"/>
          <w:kern w:val="0"/>
          <w:sz w:val="32"/>
          <w:szCs w:val="32"/>
        </w:rPr>
      </w:pPr>
      <w:r>
        <w:rPr>
          <w:rFonts w:eastAsia="仿宋_GB2312"/>
          <w:kern w:val="0"/>
          <w:sz w:val="32"/>
          <w:szCs w:val="32"/>
        </w:rPr>
        <w:t>（3）单位主管部门批准解散、撤消、终止的有关文件；</w:t>
      </w:r>
    </w:p>
    <w:p>
      <w:pPr>
        <w:spacing w:line="580" w:lineRule="exact"/>
        <w:ind w:firstLine="640" w:firstLineChars="200"/>
        <w:rPr>
          <w:rFonts w:eastAsia="仿宋_GB2312"/>
          <w:kern w:val="0"/>
          <w:sz w:val="32"/>
          <w:szCs w:val="32"/>
        </w:rPr>
      </w:pPr>
      <w:r>
        <w:rPr>
          <w:rFonts w:eastAsia="仿宋_GB2312"/>
          <w:kern w:val="0"/>
          <w:sz w:val="32"/>
          <w:szCs w:val="32"/>
        </w:rPr>
        <w:t>（4）有关部门批准转出的证明；</w:t>
      </w:r>
    </w:p>
    <w:p>
      <w:pPr>
        <w:spacing w:line="580" w:lineRule="exact"/>
        <w:ind w:firstLine="640" w:firstLineChars="200"/>
        <w:rPr>
          <w:rFonts w:eastAsia="仿宋_GB2312"/>
          <w:kern w:val="0"/>
          <w:sz w:val="32"/>
          <w:szCs w:val="32"/>
        </w:rPr>
      </w:pPr>
      <w:r>
        <w:rPr>
          <w:rFonts w:eastAsia="仿宋_GB2312"/>
          <w:kern w:val="0"/>
          <w:sz w:val="32"/>
          <w:szCs w:val="32"/>
        </w:rPr>
        <w:t>（5）医保经办机构规定的其他证件和资料。</w:t>
      </w:r>
    </w:p>
    <w:p>
      <w:pPr>
        <w:spacing w:line="580" w:lineRule="exact"/>
        <w:ind w:firstLine="640" w:firstLineChars="200"/>
        <w:rPr>
          <w:rFonts w:eastAsia="仿宋_GB2312"/>
          <w:kern w:val="0"/>
          <w:sz w:val="32"/>
          <w:szCs w:val="32"/>
        </w:rPr>
      </w:pPr>
      <w:r>
        <w:rPr>
          <w:rFonts w:eastAsia="仿宋_GB2312"/>
          <w:kern w:val="0"/>
          <w:sz w:val="32"/>
          <w:szCs w:val="32"/>
        </w:rPr>
        <w:t>3.参保单位在办理注销登记前，应当结清应缴纳的职工基本医疗保</w:t>
      </w:r>
      <w:r>
        <w:rPr>
          <w:rFonts w:eastAsia="仿宋_GB2312"/>
          <w:color w:val="000000"/>
          <w:kern w:val="0"/>
          <w:sz w:val="32"/>
          <w:szCs w:val="32"/>
        </w:rPr>
        <w:t>险与生育保险费、利</w:t>
      </w:r>
      <w:r>
        <w:rPr>
          <w:rFonts w:eastAsia="仿宋_GB2312"/>
          <w:kern w:val="0"/>
          <w:sz w:val="32"/>
          <w:szCs w:val="32"/>
        </w:rPr>
        <w:t>息、滞纳金等。</w:t>
      </w:r>
    </w:p>
    <w:p>
      <w:pPr>
        <w:widowControl/>
        <w:shd w:val="clear" w:color="auto" w:fill="FFFFFF"/>
        <w:spacing w:line="580" w:lineRule="exact"/>
        <w:ind w:firstLine="643"/>
        <w:jc w:val="left"/>
        <w:rPr>
          <w:rFonts w:eastAsia="楷体_GB2312"/>
          <w:b/>
          <w:bCs/>
          <w:kern w:val="0"/>
          <w:sz w:val="32"/>
          <w:szCs w:val="32"/>
        </w:rPr>
      </w:pPr>
      <w:r>
        <w:rPr>
          <w:rFonts w:eastAsia="楷体_GB2312"/>
          <w:b/>
          <w:bCs/>
          <w:kern w:val="0"/>
          <w:sz w:val="32"/>
          <w:szCs w:val="32"/>
        </w:rPr>
        <w:t>二、缴费流程</w:t>
      </w:r>
    </w:p>
    <w:p>
      <w:pPr>
        <w:widowControl/>
        <w:shd w:val="clear" w:color="auto" w:fill="FFFFFF"/>
        <w:spacing w:line="580" w:lineRule="exact"/>
        <w:ind w:firstLine="643"/>
        <w:jc w:val="left"/>
        <w:rPr>
          <w:rFonts w:eastAsia="仿宋_GB2312"/>
          <w:b/>
          <w:bCs/>
          <w:kern w:val="0"/>
          <w:sz w:val="32"/>
          <w:szCs w:val="32"/>
        </w:rPr>
      </w:pPr>
      <w:r>
        <w:rPr>
          <w:rFonts w:eastAsia="仿宋_GB2312"/>
          <w:b/>
          <w:bCs/>
          <w:kern w:val="0"/>
          <w:sz w:val="32"/>
          <w:szCs w:val="32"/>
        </w:rPr>
        <w:t>（一）缴费方式</w:t>
      </w:r>
    </w:p>
    <w:p>
      <w:pPr>
        <w:widowControl/>
        <w:spacing w:line="580" w:lineRule="exact"/>
        <w:ind w:firstLine="640" w:firstLineChars="200"/>
        <w:rPr>
          <w:rFonts w:eastAsia="仿宋_GB2312"/>
          <w:kern w:val="0"/>
          <w:sz w:val="32"/>
          <w:szCs w:val="32"/>
        </w:rPr>
      </w:pPr>
      <w:r>
        <w:rPr>
          <w:rFonts w:eastAsia="仿宋_GB2312"/>
          <w:kern w:val="0"/>
          <w:sz w:val="32"/>
          <w:szCs w:val="32"/>
        </w:rPr>
        <w:t>1.机关事业单位原则上应按月通过税务部门平台在每月20日前足额缴纳，职工个人缴纳部分由用人单位代扣代缴，若无法缴纳应即时与税务部门联系核实情况，不再转账至医保经办机构。</w:t>
      </w:r>
    </w:p>
    <w:p>
      <w:pPr>
        <w:widowControl/>
        <w:spacing w:line="580" w:lineRule="exact"/>
        <w:ind w:firstLine="640" w:firstLineChars="200"/>
        <w:rPr>
          <w:rFonts w:eastAsia="仿宋_GB2312"/>
          <w:kern w:val="0"/>
          <w:sz w:val="32"/>
          <w:szCs w:val="32"/>
        </w:rPr>
      </w:pPr>
      <w:r>
        <w:rPr>
          <w:rFonts w:eastAsia="仿宋_GB2312"/>
          <w:kern w:val="0"/>
          <w:sz w:val="32"/>
          <w:szCs w:val="32"/>
        </w:rPr>
        <w:t>2.企业单位应按月在每月</w:t>
      </w:r>
      <w:r>
        <w:rPr>
          <w:rFonts w:hint="eastAsia" w:eastAsia="仿宋_GB2312"/>
          <w:kern w:val="0"/>
          <w:sz w:val="32"/>
          <w:szCs w:val="32"/>
        </w:rPr>
        <w:t>25</w:t>
      </w:r>
      <w:r>
        <w:rPr>
          <w:rFonts w:eastAsia="仿宋_GB2312"/>
          <w:kern w:val="0"/>
          <w:sz w:val="32"/>
          <w:szCs w:val="32"/>
        </w:rPr>
        <w:t>日前足额转账至医保经办机构，职工个人缴纳部分由用人单位代扣代缴。</w:t>
      </w:r>
    </w:p>
    <w:p>
      <w:pPr>
        <w:widowControl/>
        <w:shd w:val="clear" w:color="auto" w:fill="FFFFFF"/>
        <w:spacing w:line="580" w:lineRule="exact"/>
        <w:ind w:firstLine="643"/>
        <w:rPr>
          <w:rFonts w:eastAsia="仿宋_GB2312"/>
          <w:kern w:val="0"/>
          <w:sz w:val="32"/>
          <w:szCs w:val="32"/>
        </w:rPr>
      </w:pPr>
      <w:r>
        <w:rPr>
          <w:rFonts w:eastAsia="仿宋_GB2312"/>
          <w:kern w:val="0"/>
          <w:sz w:val="32"/>
          <w:szCs w:val="32"/>
        </w:rPr>
        <w:t>3.灵活就业人员。由本人在每年3月底前，通过税务部门（或税务部门指定经办机构）一次性缴纳当年医保费。</w:t>
      </w:r>
    </w:p>
    <w:p>
      <w:pPr>
        <w:widowControl/>
        <w:shd w:val="clear" w:color="auto" w:fill="FFFFFF"/>
        <w:spacing w:line="580" w:lineRule="exact"/>
        <w:ind w:firstLine="643"/>
        <w:jc w:val="left"/>
        <w:rPr>
          <w:rFonts w:eastAsia="仿宋_GB2312"/>
          <w:b/>
          <w:kern w:val="0"/>
          <w:sz w:val="32"/>
          <w:szCs w:val="32"/>
        </w:rPr>
      </w:pPr>
      <w:r>
        <w:rPr>
          <w:rFonts w:eastAsia="仿宋_GB2312"/>
          <w:b/>
          <w:kern w:val="0"/>
          <w:sz w:val="32"/>
          <w:szCs w:val="32"/>
        </w:rPr>
        <w:t>（二）缴费申报</w:t>
      </w:r>
    </w:p>
    <w:p>
      <w:pPr>
        <w:spacing w:line="580" w:lineRule="exact"/>
        <w:ind w:firstLine="640" w:firstLineChars="200"/>
        <w:rPr>
          <w:rFonts w:eastAsia="仿宋_GB2312"/>
          <w:kern w:val="0"/>
          <w:sz w:val="32"/>
          <w:szCs w:val="32"/>
        </w:rPr>
      </w:pPr>
      <w:r>
        <w:rPr>
          <w:rFonts w:eastAsia="仿宋_GB2312"/>
          <w:kern w:val="0"/>
          <w:sz w:val="32"/>
          <w:szCs w:val="32"/>
        </w:rPr>
        <w:t>1.参保单位缴费申报</w:t>
      </w:r>
    </w:p>
    <w:p>
      <w:pPr>
        <w:pStyle w:val="4"/>
        <w:spacing w:before="0" w:beforeAutospacing="0" w:after="0" w:afterAutospacing="0"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1）缴费基数为用人单位职工的工资总额（工资总额包括工资、奖金、津贴、补贴和其他工资性收入等），缴费基数不实行封顶。工资总额低于最低缴费基数，按最低缴费基数计算。无法核定缴费基数以及退休或达到法定退休年龄的参保人员，缴费基数按最低缴费基数计算。统一</w:t>
      </w:r>
      <w:r>
        <w:rPr>
          <w:rFonts w:ascii="Times New Roman" w:hAnsi="Times New Roman" w:eastAsia="仿宋_GB2312" w:cs="Times New Roman"/>
          <w:color w:val="000000"/>
          <w:sz w:val="32"/>
          <w:szCs w:val="32"/>
        </w:rPr>
        <w:t>以全市上上年度全部单位职工平均工资作为我市职工基本医疗保险</w:t>
      </w:r>
      <w:r>
        <w:rPr>
          <w:rFonts w:ascii="Times New Roman" w:hAnsi="Times New Roman" w:eastAsia="仿宋_GB2312" w:cs="Times New Roman"/>
          <w:color w:val="000000"/>
          <w:kern w:val="0"/>
          <w:sz w:val="32"/>
          <w:szCs w:val="32"/>
        </w:rPr>
        <w:t>与生育保险</w:t>
      </w:r>
      <w:r>
        <w:rPr>
          <w:rFonts w:ascii="Times New Roman" w:hAnsi="Times New Roman" w:eastAsia="仿宋_GB2312" w:cs="Times New Roman"/>
          <w:color w:val="000000"/>
          <w:sz w:val="32"/>
          <w:szCs w:val="32"/>
        </w:rPr>
        <w:t>的最低缴费基数。</w:t>
      </w:r>
    </w:p>
    <w:p>
      <w:pPr>
        <w:spacing w:line="580" w:lineRule="exact"/>
        <w:ind w:firstLine="640" w:firstLineChars="200"/>
        <w:rPr>
          <w:rFonts w:eastAsia="仿宋_GB2312"/>
          <w:color w:val="000000"/>
          <w:kern w:val="0"/>
          <w:sz w:val="32"/>
          <w:szCs w:val="32"/>
        </w:rPr>
      </w:pPr>
      <w:r>
        <w:rPr>
          <w:rFonts w:eastAsia="仿宋_GB2312"/>
          <w:color w:val="000000"/>
          <w:sz w:val="32"/>
          <w:szCs w:val="32"/>
        </w:rPr>
        <w:t>（2）参保单位</w:t>
      </w:r>
      <w:r>
        <w:rPr>
          <w:rFonts w:eastAsia="仿宋_GB2312"/>
          <w:color w:val="000000"/>
          <w:kern w:val="0"/>
          <w:sz w:val="32"/>
          <w:szCs w:val="32"/>
        </w:rPr>
        <w:t>缴费基数一次核定，全年执行。</w:t>
      </w:r>
    </w:p>
    <w:p>
      <w:pPr>
        <w:spacing w:line="580" w:lineRule="exact"/>
        <w:ind w:firstLine="640" w:firstLineChars="200"/>
        <w:rPr>
          <w:rFonts w:eastAsia="仿宋_GB2312"/>
          <w:kern w:val="0"/>
          <w:sz w:val="32"/>
          <w:szCs w:val="32"/>
        </w:rPr>
      </w:pPr>
      <w:r>
        <w:rPr>
          <w:rFonts w:hint="eastAsia" w:eastAsia="仿宋_GB2312"/>
          <w:color w:val="000000"/>
          <w:sz w:val="32"/>
          <w:szCs w:val="32"/>
        </w:rPr>
        <w:t>（3）</w:t>
      </w:r>
      <w:r>
        <w:rPr>
          <w:rFonts w:eastAsia="仿宋_GB2312"/>
          <w:color w:val="000000"/>
          <w:kern w:val="0"/>
          <w:sz w:val="32"/>
          <w:szCs w:val="32"/>
        </w:rPr>
        <w:t>参保单位须在每年1月15日前（机关事业单位须在每年1月10日前）向医保经办机构申报当年度的职工基本医疗保险与生育保险缴费基数，应填报《缴费工资申报表》，并提供以下</w:t>
      </w:r>
      <w:r>
        <w:rPr>
          <w:rFonts w:eastAsia="仿宋_GB2312"/>
          <w:kern w:val="0"/>
          <w:sz w:val="32"/>
          <w:szCs w:val="32"/>
        </w:rPr>
        <w:t>资料：</w:t>
      </w:r>
    </w:p>
    <w:p>
      <w:pPr>
        <w:spacing w:line="580" w:lineRule="exact"/>
        <w:ind w:firstLine="640" w:firstLineChars="200"/>
        <w:rPr>
          <w:rFonts w:eastAsia="仿宋_GB2312"/>
          <w:kern w:val="0"/>
          <w:sz w:val="32"/>
          <w:szCs w:val="32"/>
        </w:rPr>
      </w:pPr>
      <w:r>
        <w:rPr>
          <w:rFonts w:hint="eastAsia" w:eastAsia="仿宋_GB2312"/>
          <w:kern w:val="0"/>
          <w:sz w:val="32"/>
          <w:szCs w:val="32"/>
        </w:rPr>
        <w:t>①</w:t>
      </w:r>
      <w:r>
        <w:rPr>
          <w:rFonts w:eastAsia="仿宋_GB2312"/>
          <w:sz w:val="32"/>
          <w:szCs w:val="32"/>
        </w:rPr>
        <w:t>单位上年度工资统计报表和财务决算报表；</w:t>
      </w:r>
      <w:r>
        <w:rPr>
          <w:rFonts w:hint="eastAsia" w:eastAsia="仿宋_GB2312"/>
          <w:sz w:val="32"/>
          <w:szCs w:val="32"/>
        </w:rPr>
        <w:t>②</w:t>
      </w:r>
      <w:r>
        <w:rPr>
          <w:rFonts w:eastAsia="仿宋_GB2312"/>
          <w:sz w:val="32"/>
          <w:szCs w:val="32"/>
        </w:rPr>
        <w:t>上年11月或12月份职工工资发放花名册。</w:t>
      </w:r>
    </w:p>
    <w:p>
      <w:pPr>
        <w:widowControl/>
        <w:spacing w:line="580" w:lineRule="exact"/>
        <w:ind w:firstLine="640" w:firstLineChars="200"/>
        <w:jc w:val="left"/>
        <w:rPr>
          <w:rFonts w:eastAsia="仿宋_GB2312"/>
          <w:kern w:val="0"/>
          <w:sz w:val="32"/>
          <w:szCs w:val="32"/>
        </w:rPr>
      </w:pPr>
      <w:r>
        <w:rPr>
          <w:rFonts w:eastAsia="仿宋_GB2312"/>
          <w:kern w:val="0"/>
          <w:sz w:val="32"/>
          <w:szCs w:val="32"/>
        </w:rPr>
        <w:t>（4）</w:t>
      </w:r>
      <w:r>
        <w:rPr>
          <w:rFonts w:hint="eastAsia" w:eastAsia="仿宋_GB2312"/>
          <w:kern w:val="0"/>
          <w:sz w:val="32"/>
          <w:szCs w:val="32"/>
        </w:rPr>
        <w:t>医保</w:t>
      </w:r>
      <w:r>
        <w:rPr>
          <w:rFonts w:eastAsia="仿宋_GB2312"/>
          <w:kern w:val="0"/>
          <w:sz w:val="32"/>
          <w:szCs w:val="32"/>
        </w:rPr>
        <w:t>经办机构对参保单位送达的申报表和有关资料及时审核。对申报材料齐全，缴费基数符合规定，签章核准，确定单位基本医疗保险缴费基数；对不符合规定的申报表，提出审核意见，退回参保单位修正并于5日内再次申报。</w:t>
      </w:r>
    </w:p>
    <w:p>
      <w:pPr>
        <w:spacing w:line="580" w:lineRule="exact"/>
        <w:ind w:firstLine="640" w:firstLineChars="200"/>
        <w:rPr>
          <w:rFonts w:eastAsia="仿宋_GB2312"/>
          <w:kern w:val="0"/>
          <w:sz w:val="32"/>
          <w:szCs w:val="32"/>
        </w:rPr>
      </w:pPr>
      <w:r>
        <w:rPr>
          <w:rFonts w:eastAsia="仿宋_GB2312"/>
          <w:kern w:val="0"/>
          <w:sz w:val="32"/>
          <w:szCs w:val="32"/>
        </w:rPr>
        <w:t>2.参保单位缴费核定</w:t>
      </w:r>
    </w:p>
    <w:p>
      <w:pPr>
        <w:spacing w:line="580" w:lineRule="exact"/>
        <w:ind w:firstLine="640" w:firstLineChars="200"/>
        <w:rPr>
          <w:rFonts w:eastAsia="仿宋_GB2312"/>
          <w:kern w:val="0"/>
          <w:sz w:val="32"/>
          <w:szCs w:val="32"/>
        </w:rPr>
      </w:pPr>
      <w:r>
        <w:rPr>
          <w:rFonts w:eastAsia="仿宋_GB2312"/>
          <w:kern w:val="0"/>
          <w:sz w:val="32"/>
          <w:szCs w:val="32"/>
        </w:rPr>
        <w:t>（1）参保单位缴费人数因增加、减少、退休、死亡等原因发生变化，单位应在</w:t>
      </w:r>
      <w:r>
        <w:rPr>
          <w:rFonts w:eastAsia="仿宋_GB2312"/>
          <w:sz w:val="32"/>
          <w:szCs w:val="32"/>
        </w:rPr>
        <w:t>每月15日前（</w:t>
      </w:r>
      <w:r>
        <w:rPr>
          <w:rFonts w:eastAsia="仿宋_GB2312"/>
          <w:kern w:val="0"/>
          <w:sz w:val="32"/>
          <w:szCs w:val="32"/>
        </w:rPr>
        <w:t>机关事业单位应在</w:t>
      </w:r>
      <w:r>
        <w:rPr>
          <w:rFonts w:eastAsia="仿宋_GB2312"/>
          <w:sz w:val="32"/>
          <w:szCs w:val="32"/>
        </w:rPr>
        <w:t>每月10日前）向当地医保经办机构申报办理。</w:t>
      </w:r>
    </w:p>
    <w:p>
      <w:pPr>
        <w:spacing w:line="580" w:lineRule="exact"/>
        <w:ind w:firstLine="640" w:firstLineChars="200"/>
        <w:rPr>
          <w:rFonts w:eastAsia="仿宋_GB2312"/>
          <w:kern w:val="0"/>
          <w:sz w:val="32"/>
          <w:szCs w:val="32"/>
        </w:rPr>
      </w:pPr>
      <w:r>
        <w:rPr>
          <w:rFonts w:eastAsia="仿宋_GB2312"/>
          <w:sz w:val="32"/>
          <w:szCs w:val="32"/>
        </w:rPr>
        <w:t>（2）参保</w:t>
      </w:r>
      <w:r>
        <w:rPr>
          <w:rFonts w:eastAsia="仿宋_GB2312"/>
          <w:kern w:val="0"/>
          <w:sz w:val="32"/>
          <w:szCs w:val="32"/>
        </w:rPr>
        <w:t>单位申报时，应填报《职工基本医疗保险与生育保险人员增（减）表》，</w:t>
      </w:r>
      <w:r>
        <w:rPr>
          <w:rFonts w:eastAsia="仿宋_GB2312"/>
          <w:sz w:val="32"/>
          <w:szCs w:val="32"/>
        </w:rPr>
        <w:t>并提供变更人员退休、调入（出）、新聘、辞（解）聘、死亡等相关材料。增</w:t>
      </w:r>
      <w:r>
        <w:rPr>
          <w:rFonts w:hint="eastAsia" w:eastAsia="仿宋_GB2312"/>
          <w:sz w:val="32"/>
          <w:szCs w:val="32"/>
        </w:rPr>
        <w:t>（减）表每月只报送一次。</w:t>
      </w:r>
      <w:r>
        <w:rPr>
          <w:rFonts w:eastAsia="仿宋_GB2312"/>
          <w:sz w:val="32"/>
          <w:szCs w:val="32"/>
        </w:rPr>
        <w:t>逾期</w:t>
      </w:r>
      <w:r>
        <w:rPr>
          <w:rFonts w:eastAsia="仿宋_GB2312"/>
          <w:kern w:val="0"/>
          <w:sz w:val="32"/>
          <w:szCs w:val="32"/>
        </w:rPr>
        <w:t>不报送，医保经办机构视其无变动，按上月计划进行结算和征收计划推送，由此产生的问题由参保单位自行负责。</w:t>
      </w:r>
    </w:p>
    <w:p>
      <w:pPr>
        <w:spacing w:line="580" w:lineRule="exact"/>
        <w:ind w:firstLine="640" w:firstLineChars="200"/>
        <w:rPr>
          <w:rFonts w:eastAsia="仿宋_GB2312"/>
          <w:kern w:val="0"/>
          <w:sz w:val="32"/>
          <w:szCs w:val="32"/>
        </w:rPr>
      </w:pPr>
      <w:r>
        <w:rPr>
          <w:rFonts w:eastAsia="仿宋_GB2312"/>
          <w:sz w:val="32"/>
          <w:szCs w:val="32"/>
        </w:rPr>
        <w:t>（3）医保</w:t>
      </w:r>
      <w:r>
        <w:rPr>
          <w:rFonts w:eastAsia="仿宋_GB2312"/>
          <w:kern w:val="0"/>
          <w:sz w:val="32"/>
          <w:szCs w:val="32"/>
        </w:rPr>
        <w:t>经办机构对参保单位报送的变更资料，应即时进行审核，根据核定的当期参保人数、缴费基数、缴费费率计算应缴费用数额，打印缴费通知单并发放至缴费单位，同时按税务部门要求，将机关事业单位的征收计划通过医保信息系统推送至同级税务部门，已推送的征收计划不得变更和撤销。</w:t>
      </w:r>
    </w:p>
    <w:p>
      <w:pPr>
        <w:spacing w:line="580" w:lineRule="exact"/>
        <w:ind w:firstLine="640" w:firstLineChars="200"/>
        <w:rPr>
          <w:rFonts w:eastAsia="仿宋_GB2312"/>
          <w:kern w:val="0"/>
          <w:sz w:val="32"/>
          <w:szCs w:val="32"/>
        </w:rPr>
      </w:pPr>
      <w:r>
        <w:rPr>
          <w:rFonts w:eastAsia="仿宋_GB2312"/>
          <w:kern w:val="0"/>
          <w:sz w:val="32"/>
          <w:szCs w:val="32"/>
        </w:rPr>
        <w:t>（4）缴费单位如对缴费金额有异议应及时核对，如无异议应严格按缴费通知单金额足额缴纳（参保单位当月无变更的按上月缴费通知单金额缴纳）。</w:t>
      </w:r>
    </w:p>
    <w:p>
      <w:pPr>
        <w:spacing w:line="580" w:lineRule="exact"/>
        <w:ind w:firstLine="640" w:firstLineChars="200"/>
        <w:rPr>
          <w:rFonts w:eastAsia="仿宋_GB2312"/>
          <w:sz w:val="32"/>
          <w:szCs w:val="32"/>
        </w:rPr>
      </w:pPr>
      <w:r>
        <w:rPr>
          <w:rFonts w:eastAsia="仿宋_GB2312"/>
          <w:sz w:val="32"/>
          <w:szCs w:val="32"/>
        </w:rPr>
        <w:t>3.参保单位费用缴纳及管理</w:t>
      </w:r>
    </w:p>
    <w:p>
      <w:pPr>
        <w:widowControl/>
        <w:spacing w:line="580" w:lineRule="exact"/>
        <w:ind w:firstLine="640" w:firstLineChars="200"/>
        <w:rPr>
          <w:rFonts w:eastAsia="仿宋_GB2312"/>
          <w:color w:val="000000"/>
          <w:kern w:val="0"/>
          <w:sz w:val="32"/>
          <w:szCs w:val="32"/>
        </w:rPr>
      </w:pPr>
      <w:r>
        <w:rPr>
          <w:rFonts w:eastAsia="仿宋_GB2312"/>
          <w:kern w:val="0"/>
          <w:sz w:val="32"/>
          <w:szCs w:val="32"/>
        </w:rPr>
        <w:t>（1）职工基本医疗保险由参保单位按职工本人缴费基数的7.5%缴纳，职工按本人缴费基数的2%缴纳。未缴满规定年限的单位退休人员由参保单位按本人缴费基数的7.5%缴纳，个人不缴费</w:t>
      </w:r>
      <w:r>
        <w:rPr>
          <w:rFonts w:eastAsia="仿宋_GB2312"/>
          <w:color w:val="000000"/>
          <w:kern w:val="0"/>
          <w:sz w:val="32"/>
          <w:szCs w:val="32"/>
        </w:rPr>
        <w:t>。财政供养人员的生育保险由参保单位按本人缴费基数的0.3%缴纳，非财政供养人员的生育保险由参保单位按本人缴费基数的0.8%缴纳，个人不缴费。</w:t>
      </w:r>
    </w:p>
    <w:p>
      <w:pPr>
        <w:widowControl/>
        <w:spacing w:line="580" w:lineRule="exact"/>
        <w:ind w:firstLine="640" w:firstLineChars="200"/>
        <w:jc w:val="left"/>
        <w:rPr>
          <w:rFonts w:eastAsia="仿宋_GB2312"/>
          <w:color w:val="000000"/>
          <w:kern w:val="0"/>
          <w:sz w:val="32"/>
          <w:szCs w:val="32"/>
        </w:rPr>
      </w:pPr>
      <w:r>
        <w:rPr>
          <w:rFonts w:eastAsia="仿宋_GB2312"/>
          <w:kern w:val="0"/>
          <w:sz w:val="32"/>
          <w:szCs w:val="32"/>
        </w:rPr>
        <w:t>（2）</w:t>
      </w:r>
      <w:r>
        <w:rPr>
          <w:rFonts w:eastAsia="仿宋_GB2312"/>
          <w:color w:val="000000"/>
          <w:kern w:val="0"/>
          <w:sz w:val="32"/>
          <w:szCs w:val="32"/>
        </w:rPr>
        <w:t>参保单位当月未按规定申报且未缴纳、申报后在次月仍未足额缴纳、因瞒报（漏报）职工人数或缴费基数等事项而少缴，医保经办机构于查明欠缴事实后，自欠缴月份第三个月起按日加收</w:t>
      </w:r>
      <w:r>
        <w:rPr>
          <w:rFonts w:eastAsia="仿宋_GB2312"/>
          <w:color w:val="000000"/>
          <w:sz w:val="32"/>
          <w:szCs w:val="32"/>
        </w:rPr>
        <w:t>0.5‰</w:t>
      </w:r>
      <w:r>
        <w:rPr>
          <w:rFonts w:eastAsia="仿宋_GB2312"/>
          <w:color w:val="000000"/>
          <w:kern w:val="0"/>
          <w:sz w:val="32"/>
          <w:szCs w:val="32"/>
        </w:rPr>
        <w:t>滞纳金，并在5个工作日内发出《社会保险费限期补缴通知》，责令参保单位在收到通知后5个工作日内补缴，同时告知其逾期仍未缴纳，将按《社会保险法》第六十三条、第八十六条规定处理。</w:t>
      </w:r>
    </w:p>
    <w:p>
      <w:pPr>
        <w:widowControl/>
        <w:spacing w:line="580" w:lineRule="exact"/>
        <w:ind w:firstLine="640" w:firstLineChars="200"/>
        <w:jc w:val="left"/>
        <w:rPr>
          <w:rFonts w:eastAsia="仿宋_GB2312"/>
          <w:sz w:val="32"/>
          <w:szCs w:val="32"/>
        </w:rPr>
      </w:pPr>
      <w:r>
        <w:rPr>
          <w:rFonts w:eastAsia="仿宋_GB2312"/>
          <w:sz w:val="32"/>
          <w:szCs w:val="32"/>
        </w:rPr>
        <w:t>滞纳金并入统筹基金，参保单位不得要求职工承担滞纳金。</w:t>
      </w:r>
    </w:p>
    <w:p>
      <w:pPr>
        <w:spacing w:line="580" w:lineRule="exact"/>
        <w:ind w:firstLine="640" w:firstLineChars="200"/>
        <w:rPr>
          <w:rFonts w:eastAsia="仿宋_GB2312"/>
          <w:kern w:val="0"/>
          <w:sz w:val="32"/>
          <w:szCs w:val="32"/>
        </w:rPr>
      </w:pPr>
      <w:r>
        <w:rPr>
          <w:rFonts w:eastAsia="仿宋_GB2312"/>
          <w:kern w:val="0"/>
          <w:sz w:val="32"/>
          <w:szCs w:val="32"/>
        </w:rPr>
        <w:t>（3）参保单位逾期仍未足额缴纳，按照《社会保险法》第六十三条第二款、《社会保险费申报管理规定》（人社部20号令）第四章或《社会保险法》第八十六条的规定依法办理。</w:t>
      </w:r>
    </w:p>
    <w:p>
      <w:pPr>
        <w:spacing w:line="580" w:lineRule="exact"/>
        <w:ind w:firstLine="640" w:firstLineChars="200"/>
        <w:rPr>
          <w:rFonts w:eastAsia="仿宋_GB2312"/>
          <w:kern w:val="0"/>
          <w:sz w:val="32"/>
          <w:szCs w:val="32"/>
        </w:rPr>
      </w:pPr>
      <w:r>
        <w:rPr>
          <w:rFonts w:eastAsia="仿宋_GB2312"/>
          <w:kern w:val="0"/>
          <w:sz w:val="32"/>
          <w:szCs w:val="32"/>
        </w:rPr>
        <w:t>（4）参保单位不按时足额缴纳，从中断缴费次月起，依法暂停职工基本医疗保险待遇。中断缴费3个月（含3个月）以内，按规定足额补缴，连续享受职工基本医疗保险待遇，缴费年限连续计算；中断缴费3个月以上6个月以下，参保单位按规定足额补缴后，缴费年限连续计算，并按规定享受职工基本医疗保险待遇；参保单位中断缴费6个月及以上，不再办理补缴，之前缴费年限作为累计缴费年限计算，重新参保缴费从自缴费之月起第7个月开始享受基本医疗保险待遇。</w:t>
      </w:r>
    </w:p>
    <w:p>
      <w:pPr>
        <w:spacing w:line="580" w:lineRule="exact"/>
        <w:ind w:firstLine="640" w:firstLineChars="200"/>
        <w:rPr>
          <w:rFonts w:eastAsia="仿宋_GB2312"/>
          <w:kern w:val="0"/>
          <w:sz w:val="32"/>
          <w:szCs w:val="32"/>
        </w:rPr>
      </w:pPr>
      <w:r>
        <w:rPr>
          <w:rFonts w:eastAsia="仿宋_GB2312"/>
          <w:kern w:val="0"/>
          <w:sz w:val="32"/>
          <w:szCs w:val="32"/>
        </w:rPr>
        <w:t>4.灵活就业人员费用缴纳及管理</w:t>
      </w:r>
    </w:p>
    <w:p>
      <w:pPr>
        <w:spacing w:line="580" w:lineRule="exact"/>
        <w:ind w:firstLine="640" w:firstLineChars="200"/>
        <w:rPr>
          <w:rFonts w:eastAsia="仿宋_GB2312"/>
          <w:sz w:val="32"/>
          <w:szCs w:val="32"/>
        </w:rPr>
      </w:pPr>
      <w:r>
        <w:rPr>
          <w:rFonts w:eastAsia="仿宋_GB2312"/>
          <w:sz w:val="32"/>
          <w:szCs w:val="32"/>
        </w:rPr>
        <w:t>（1）职工基本医疗保险按全市上上年度全部单位职工平均工资的9.5%缴纳（含退休或到达法定退休年龄的参保人员）。</w:t>
      </w:r>
    </w:p>
    <w:p>
      <w:pPr>
        <w:spacing w:line="580" w:lineRule="exact"/>
        <w:ind w:firstLine="640" w:firstLineChars="200"/>
        <w:rPr>
          <w:rFonts w:eastAsia="仿宋_GB2312"/>
          <w:kern w:val="0"/>
          <w:sz w:val="32"/>
          <w:szCs w:val="32"/>
        </w:rPr>
      </w:pPr>
      <w:r>
        <w:rPr>
          <w:rFonts w:eastAsia="仿宋_GB2312"/>
          <w:sz w:val="32"/>
          <w:szCs w:val="32"/>
        </w:rPr>
        <w:t>（2）</w:t>
      </w:r>
      <w:r>
        <w:rPr>
          <w:rFonts w:eastAsia="仿宋_GB2312"/>
          <w:kern w:val="0"/>
          <w:sz w:val="32"/>
          <w:szCs w:val="32"/>
        </w:rPr>
        <w:t>灵活就业人员应由本人在每年3月底前一次性缴纳当年的职工基本医疗保险费。</w:t>
      </w:r>
    </w:p>
    <w:p>
      <w:pPr>
        <w:spacing w:line="580" w:lineRule="exact"/>
        <w:ind w:firstLine="640" w:firstLineChars="200"/>
        <w:rPr>
          <w:rFonts w:eastAsia="仿宋_GB2312"/>
          <w:kern w:val="0"/>
          <w:sz w:val="32"/>
          <w:szCs w:val="32"/>
        </w:rPr>
      </w:pPr>
      <w:r>
        <w:rPr>
          <w:rFonts w:eastAsia="仿宋_GB2312"/>
          <w:kern w:val="0"/>
          <w:sz w:val="32"/>
          <w:szCs w:val="32"/>
        </w:rPr>
        <w:t>（3）灵活就业人员不按时足额缴费，从中断缴费之时起，依法暂停职工基本医疗保险待遇。中断缴费3个月（含3个月）以内按规定足额补缴后，连续享受职工基本医疗保险待遇，连续计算缴费年限；中断缴费3个月以上6个月以下，可以办理补缴，按规定足额补缴后，从缴费之日起享受住院报销待遇及补划个人账户，缴费年限连续计算；中断缴费6个月及以上，不再办理补缴，之前缴费年限作为累计缴费年限计算，重新参保缴费，自缴费之月起的第7个月开始享受职工基本医疗保险待遇。</w:t>
      </w:r>
    </w:p>
    <w:p>
      <w:pPr>
        <w:widowControl/>
        <w:shd w:val="clear" w:color="auto" w:fill="FFFFFF"/>
        <w:spacing w:line="580" w:lineRule="exact"/>
        <w:ind w:firstLine="643"/>
        <w:jc w:val="left"/>
        <w:rPr>
          <w:rFonts w:eastAsia="楷体_GB2312"/>
          <w:b/>
          <w:bCs/>
          <w:kern w:val="0"/>
          <w:sz w:val="32"/>
          <w:szCs w:val="32"/>
        </w:rPr>
      </w:pPr>
      <w:r>
        <w:rPr>
          <w:rFonts w:hint="eastAsia" w:eastAsia="楷体_GB2312"/>
          <w:bCs/>
          <w:kern w:val="0"/>
          <w:sz w:val="32"/>
          <w:szCs w:val="32"/>
        </w:rPr>
        <w:t>5.</w:t>
      </w:r>
      <w:r>
        <w:rPr>
          <w:rFonts w:eastAsia="仿宋_GB2312"/>
          <w:color w:val="000000"/>
          <w:kern w:val="0"/>
          <w:sz w:val="32"/>
          <w:szCs w:val="32"/>
        </w:rPr>
        <w:t xml:space="preserve"> 根据社会经济发展和基金运行情况，市医疗保障局报请市政府同意后，可以适度调整</w:t>
      </w:r>
      <w:r>
        <w:rPr>
          <w:rFonts w:hint="eastAsia" w:eastAsia="仿宋_GB2312"/>
          <w:color w:val="000000"/>
          <w:kern w:val="0"/>
          <w:sz w:val="32"/>
          <w:szCs w:val="32"/>
        </w:rPr>
        <w:t>缴费</w:t>
      </w:r>
      <w:r>
        <w:rPr>
          <w:rFonts w:eastAsia="仿宋_GB2312"/>
          <w:color w:val="000000"/>
          <w:kern w:val="0"/>
          <w:sz w:val="32"/>
          <w:szCs w:val="32"/>
        </w:rPr>
        <w:t>比例或最低缴费基数。</w:t>
      </w:r>
    </w:p>
    <w:p>
      <w:pPr>
        <w:widowControl/>
        <w:shd w:val="clear" w:color="auto" w:fill="FFFFFF"/>
        <w:spacing w:line="580" w:lineRule="exact"/>
        <w:ind w:firstLine="643"/>
        <w:jc w:val="left"/>
        <w:rPr>
          <w:rFonts w:eastAsia="楷体_GB2312"/>
          <w:b/>
          <w:bCs/>
          <w:kern w:val="0"/>
          <w:sz w:val="32"/>
          <w:szCs w:val="32"/>
        </w:rPr>
      </w:pPr>
      <w:r>
        <w:rPr>
          <w:rFonts w:eastAsia="楷体_GB2312"/>
          <w:b/>
          <w:bCs/>
          <w:kern w:val="0"/>
          <w:sz w:val="32"/>
          <w:szCs w:val="32"/>
        </w:rPr>
        <w:t>三、医保关系衔接</w:t>
      </w:r>
    </w:p>
    <w:p>
      <w:pPr>
        <w:widowControl/>
        <w:spacing w:line="580" w:lineRule="exact"/>
        <w:ind w:firstLine="640" w:firstLineChars="200"/>
        <w:jc w:val="left"/>
        <w:rPr>
          <w:rFonts w:eastAsia="仿宋_GB2312"/>
          <w:kern w:val="0"/>
          <w:sz w:val="32"/>
          <w:szCs w:val="32"/>
        </w:rPr>
      </w:pPr>
      <w:r>
        <w:rPr>
          <w:rFonts w:eastAsia="仿宋_GB2312"/>
          <w:kern w:val="0"/>
          <w:sz w:val="32"/>
          <w:szCs w:val="32"/>
        </w:rPr>
        <w:t>（一）参保人员因辞职、辞退、解聘或用人单位依法破产、转制等解除劳动合同关系，须在解除劳动关系后及时衔接医疗保险关系。</w:t>
      </w:r>
    </w:p>
    <w:p>
      <w:pPr>
        <w:widowControl/>
        <w:spacing w:line="580" w:lineRule="exact"/>
        <w:ind w:firstLine="640" w:firstLineChars="200"/>
        <w:jc w:val="left"/>
        <w:rPr>
          <w:rFonts w:eastAsia="仿宋_GB2312"/>
          <w:kern w:val="0"/>
          <w:sz w:val="32"/>
          <w:szCs w:val="32"/>
        </w:rPr>
      </w:pPr>
      <w:r>
        <w:rPr>
          <w:rFonts w:eastAsia="仿宋_GB2312"/>
          <w:kern w:val="0"/>
          <w:sz w:val="32"/>
          <w:szCs w:val="32"/>
        </w:rPr>
        <w:t>（二）职工基本医疗保险关系的衔接按以下办法进行：</w:t>
      </w:r>
    </w:p>
    <w:p>
      <w:pPr>
        <w:widowControl/>
        <w:spacing w:line="580" w:lineRule="exact"/>
        <w:ind w:firstLine="640" w:firstLineChars="200"/>
        <w:jc w:val="left"/>
        <w:rPr>
          <w:rFonts w:eastAsia="仿宋_GB2312"/>
          <w:kern w:val="0"/>
          <w:sz w:val="32"/>
          <w:szCs w:val="32"/>
        </w:rPr>
      </w:pPr>
      <w:r>
        <w:rPr>
          <w:rFonts w:eastAsia="仿宋_GB2312"/>
          <w:kern w:val="0"/>
          <w:sz w:val="32"/>
          <w:szCs w:val="32"/>
        </w:rPr>
        <w:t>1.中断3个月（含3个月）以内衔接并按规定足额补缴，连续享受职工基本医疗保险待遇；</w:t>
      </w:r>
    </w:p>
    <w:p>
      <w:pPr>
        <w:widowControl/>
        <w:spacing w:line="580" w:lineRule="exact"/>
        <w:ind w:firstLine="640" w:firstLineChars="200"/>
        <w:jc w:val="left"/>
        <w:rPr>
          <w:rFonts w:eastAsia="仿宋_GB2312"/>
          <w:kern w:val="0"/>
          <w:sz w:val="32"/>
          <w:szCs w:val="32"/>
        </w:rPr>
      </w:pPr>
      <w:r>
        <w:rPr>
          <w:rFonts w:eastAsia="仿宋_GB2312"/>
          <w:kern w:val="0"/>
          <w:sz w:val="32"/>
          <w:szCs w:val="32"/>
        </w:rPr>
        <w:t>2.中断3个月以上6个月以下衔接，可以办理补缴。按规定足额补缴后，缴费年限连续计算，并从缴费之日起享受住院报销待遇和补划个人账户。</w:t>
      </w:r>
    </w:p>
    <w:p>
      <w:pPr>
        <w:widowControl/>
        <w:spacing w:line="580" w:lineRule="exact"/>
        <w:ind w:firstLine="640" w:firstLineChars="200"/>
        <w:jc w:val="left"/>
        <w:rPr>
          <w:rFonts w:eastAsia="仿宋_GB2312"/>
          <w:kern w:val="0"/>
          <w:sz w:val="32"/>
          <w:szCs w:val="32"/>
        </w:rPr>
      </w:pPr>
      <w:r>
        <w:rPr>
          <w:rFonts w:eastAsia="仿宋_GB2312"/>
          <w:kern w:val="0"/>
          <w:sz w:val="32"/>
          <w:szCs w:val="32"/>
        </w:rPr>
        <w:t>3.中断6个月及以上未办理补缴手续，不再办理职工基本医疗保险关系的衔接，之前的缴费年限作为累计缴费年限计算。重新参保的，应按本规程第二条《灵活就业人员参保登记》办理（自缴费之月起的第7个月开始享受基本医疗保险待遇）。</w:t>
      </w:r>
    </w:p>
    <w:p>
      <w:pPr>
        <w:widowControl/>
        <w:spacing w:line="580" w:lineRule="exact"/>
        <w:ind w:firstLine="643" w:firstLineChars="200"/>
        <w:jc w:val="left"/>
        <w:rPr>
          <w:rFonts w:eastAsia="楷体_GB2312"/>
          <w:b/>
          <w:kern w:val="0"/>
          <w:sz w:val="32"/>
          <w:szCs w:val="32"/>
        </w:rPr>
      </w:pPr>
      <w:r>
        <w:rPr>
          <w:rFonts w:eastAsia="楷体_GB2312"/>
          <w:b/>
          <w:kern w:val="0"/>
          <w:sz w:val="32"/>
          <w:szCs w:val="32"/>
        </w:rPr>
        <w:t>四</w:t>
      </w:r>
      <w:r>
        <w:rPr>
          <w:rFonts w:hint="eastAsia" w:eastAsia="楷体_GB2312"/>
          <w:b/>
          <w:kern w:val="0"/>
          <w:sz w:val="32"/>
          <w:szCs w:val="32"/>
        </w:rPr>
        <w:t>、</w:t>
      </w:r>
      <w:r>
        <w:rPr>
          <w:rFonts w:eastAsia="楷体_GB2312"/>
          <w:b/>
          <w:kern w:val="0"/>
          <w:sz w:val="32"/>
          <w:szCs w:val="32"/>
        </w:rPr>
        <w:t>医保关系转移接续</w:t>
      </w:r>
    </w:p>
    <w:p>
      <w:pPr>
        <w:spacing w:line="580" w:lineRule="exact"/>
        <w:ind w:firstLine="640" w:firstLineChars="200"/>
        <w:rPr>
          <w:rFonts w:eastAsia="仿宋_GB2312"/>
          <w:bCs/>
          <w:kern w:val="0"/>
          <w:sz w:val="32"/>
          <w:szCs w:val="32"/>
        </w:rPr>
      </w:pPr>
      <w:r>
        <w:rPr>
          <w:rFonts w:eastAsia="仿宋_GB2312"/>
          <w:kern w:val="0"/>
          <w:sz w:val="32"/>
          <w:szCs w:val="32"/>
        </w:rPr>
        <w:t>（一）职工基本医疗保险关系的转移接续严格按四川省人力资源和社会保障厅、四川省卫生厅、四川省财政厅</w:t>
      </w:r>
      <w:r>
        <w:rPr>
          <w:rFonts w:eastAsia="仿宋_GB2312"/>
          <w:bCs/>
          <w:kern w:val="0"/>
          <w:sz w:val="32"/>
          <w:szCs w:val="32"/>
        </w:rPr>
        <w:t>《关于印发四川省流动就业人员基本医疗保障关系转移接续登记管理实施办法（暂行）的通知》（川人社发〔2010〕22号）和四川省人力资源和社会保障厅、四川省财政厅《关于鼓励灵活就业人员参加基本医疗保险有关问题的通知》（川人社办发〔2014〕199号）精神及相关程序执行。</w:t>
      </w:r>
    </w:p>
    <w:p>
      <w:pPr>
        <w:spacing w:line="580" w:lineRule="exact"/>
        <w:ind w:firstLine="640" w:firstLineChars="200"/>
        <w:rPr>
          <w:rFonts w:eastAsia="仿宋_GB2312"/>
          <w:kern w:val="0"/>
          <w:sz w:val="32"/>
          <w:szCs w:val="32"/>
        </w:rPr>
      </w:pPr>
      <w:r>
        <w:rPr>
          <w:rFonts w:eastAsia="仿宋_GB2312"/>
          <w:kern w:val="0"/>
          <w:sz w:val="32"/>
          <w:szCs w:val="32"/>
        </w:rPr>
        <w:t>（二）参保人员将医保关系转移接续至本市外，按规定办理关系转移手续，个人账户原则上随关系转移，并按新参保地办法管理。</w:t>
      </w:r>
    </w:p>
    <w:p>
      <w:pPr>
        <w:spacing w:line="580" w:lineRule="exact"/>
        <w:ind w:firstLine="640" w:firstLineChars="200"/>
        <w:rPr>
          <w:rFonts w:eastAsia="仿宋_GB2312"/>
          <w:kern w:val="0"/>
          <w:sz w:val="32"/>
          <w:szCs w:val="32"/>
        </w:rPr>
      </w:pPr>
      <w:r>
        <w:rPr>
          <w:rFonts w:eastAsia="仿宋_GB2312"/>
          <w:kern w:val="0"/>
          <w:sz w:val="32"/>
          <w:szCs w:val="32"/>
        </w:rPr>
        <w:t>（三）参保人员将医保关系从市外转入我市，按以下办法接续：</w:t>
      </w:r>
    </w:p>
    <w:p>
      <w:pPr>
        <w:widowControl/>
        <w:spacing w:line="580" w:lineRule="exact"/>
        <w:ind w:firstLine="640" w:firstLineChars="200"/>
        <w:jc w:val="left"/>
        <w:rPr>
          <w:rFonts w:eastAsia="仿宋_GB2312"/>
          <w:kern w:val="0"/>
          <w:sz w:val="32"/>
          <w:szCs w:val="32"/>
        </w:rPr>
      </w:pPr>
      <w:r>
        <w:rPr>
          <w:rFonts w:eastAsia="仿宋_GB2312"/>
          <w:kern w:val="0"/>
          <w:sz w:val="32"/>
          <w:szCs w:val="32"/>
        </w:rPr>
        <w:t>1.中断3个月（含3个月）以内办理接续关系，按规定足额补缴后，连续享受职工基本医疗保险待遇。</w:t>
      </w:r>
    </w:p>
    <w:p>
      <w:pPr>
        <w:widowControl/>
        <w:spacing w:line="580" w:lineRule="exact"/>
        <w:ind w:firstLine="640" w:firstLineChars="200"/>
        <w:jc w:val="left"/>
        <w:rPr>
          <w:rFonts w:eastAsia="仿宋_GB2312"/>
          <w:kern w:val="0"/>
          <w:sz w:val="32"/>
          <w:szCs w:val="32"/>
        </w:rPr>
      </w:pPr>
      <w:r>
        <w:rPr>
          <w:rFonts w:eastAsia="仿宋_GB2312"/>
          <w:kern w:val="0"/>
          <w:sz w:val="32"/>
          <w:szCs w:val="32"/>
        </w:rPr>
        <w:t>2.中断3个月以上6个月以下办理接续关系，按规定足额补缴后，从缴费之日起享受职工基本医疗保险待遇。</w:t>
      </w:r>
    </w:p>
    <w:p>
      <w:pPr>
        <w:spacing w:line="580" w:lineRule="exact"/>
        <w:ind w:firstLine="640" w:firstLineChars="200"/>
        <w:rPr>
          <w:rFonts w:eastAsia="仿宋_GB2312"/>
          <w:kern w:val="0"/>
          <w:sz w:val="32"/>
          <w:szCs w:val="32"/>
        </w:rPr>
      </w:pPr>
      <w:r>
        <w:rPr>
          <w:rFonts w:eastAsia="仿宋_GB2312"/>
          <w:kern w:val="0"/>
          <w:sz w:val="32"/>
          <w:szCs w:val="32"/>
        </w:rPr>
        <w:t>3.中断6个月及以上办理接续关系的不再办理基本医疗保险关系的接续。</w:t>
      </w:r>
    </w:p>
    <w:p>
      <w:pPr>
        <w:spacing w:line="580" w:lineRule="exact"/>
        <w:ind w:firstLine="640" w:firstLineChars="200"/>
        <w:rPr>
          <w:rFonts w:eastAsia="仿宋_GB2312"/>
          <w:kern w:val="0"/>
          <w:sz w:val="32"/>
          <w:szCs w:val="32"/>
        </w:rPr>
      </w:pPr>
      <w:r>
        <w:rPr>
          <w:rFonts w:eastAsia="仿宋_GB2312"/>
          <w:kern w:val="0"/>
          <w:sz w:val="32"/>
          <w:szCs w:val="32"/>
        </w:rPr>
        <w:t>4.接续后原参保地缴费年限与我市职工基本医疗保险实际缴费年限一并累计计算（不重复计算），作为累计缴费年限。</w:t>
      </w:r>
    </w:p>
    <w:p>
      <w:pPr>
        <w:spacing w:line="580" w:lineRule="exact"/>
        <w:ind w:firstLine="640" w:firstLineChars="200"/>
        <w:rPr>
          <w:rFonts w:eastAsia="仿宋_GB2312"/>
          <w:color w:val="FF0000"/>
          <w:kern w:val="0"/>
          <w:sz w:val="32"/>
          <w:szCs w:val="32"/>
        </w:rPr>
      </w:pPr>
      <w:r>
        <w:rPr>
          <w:rFonts w:eastAsia="仿宋_GB2312"/>
          <w:kern w:val="0"/>
          <w:sz w:val="32"/>
          <w:szCs w:val="32"/>
        </w:rPr>
        <w:t>5.</w:t>
      </w:r>
      <w:r>
        <w:rPr>
          <w:rFonts w:eastAsia="仿宋_GB2312"/>
          <w:color w:val="000000"/>
          <w:kern w:val="0"/>
          <w:sz w:val="32"/>
          <w:szCs w:val="32"/>
        </w:rPr>
        <w:t xml:space="preserve"> 2006年12月31日及以前的参保人员最低缴费年限按我市原统筹地区规定执行</w:t>
      </w:r>
      <w:r>
        <w:rPr>
          <w:rFonts w:hint="eastAsia" w:eastAsia="仿宋_GB2312"/>
          <w:color w:val="000000"/>
          <w:kern w:val="0"/>
          <w:sz w:val="32"/>
          <w:szCs w:val="32"/>
        </w:rPr>
        <w:t>。</w:t>
      </w:r>
      <w:r>
        <w:rPr>
          <w:rFonts w:eastAsia="仿宋_GB2312"/>
          <w:color w:val="000000"/>
          <w:kern w:val="0"/>
          <w:sz w:val="32"/>
          <w:szCs w:val="32"/>
        </w:rPr>
        <w:t>2007年1月1日以后在我市连续缴费10年的参保人员（办理过关系转出后又转入）且累计缴费满20年并达到法定退休年龄的（包含在市外参保），可以办理职工医保清算退休</w:t>
      </w:r>
      <w:r>
        <w:rPr>
          <w:rFonts w:hint="eastAsia" w:eastAsia="仿宋_GB2312"/>
          <w:color w:val="000000"/>
          <w:kern w:val="0"/>
          <w:sz w:val="32"/>
          <w:szCs w:val="32"/>
        </w:rPr>
        <w:t>。</w:t>
      </w:r>
      <w:r>
        <w:rPr>
          <w:rFonts w:eastAsia="仿宋_GB2312"/>
          <w:color w:val="000000"/>
          <w:kern w:val="0"/>
          <w:sz w:val="32"/>
          <w:szCs w:val="32"/>
        </w:rPr>
        <w:t>如有中断，补缴中断部分后可办理医保清算退休</w:t>
      </w:r>
      <w:r>
        <w:rPr>
          <w:rFonts w:hint="eastAsia" w:eastAsia="仿宋_GB2312"/>
          <w:color w:val="000000"/>
          <w:kern w:val="0"/>
          <w:sz w:val="32"/>
          <w:szCs w:val="32"/>
        </w:rPr>
        <w:t>，补缴按照办理时的缴费标准执行</w:t>
      </w:r>
      <w:r>
        <w:rPr>
          <w:rFonts w:eastAsia="仿宋_GB2312"/>
          <w:color w:val="000000"/>
          <w:kern w:val="0"/>
          <w:sz w:val="32"/>
          <w:szCs w:val="32"/>
        </w:rPr>
        <w:t>。</w:t>
      </w:r>
    </w:p>
    <w:p>
      <w:pPr>
        <w:spacing w:line="580" w:lineRule="exact"/>
        <w:ind w:firstLine="640" w:firstLineChars="200"/>
        <w:rPr>
          <w:rFonts w:eastAsia="仿宋_GB2312"/>
          <w:kern w:val="0"/>
          <w:sz w:val="32"/>
          <w:szCs w:val="32"/>
        </w:rPr>
      </w:pPr>
      <w:r>
        <w:rPr>
          <w:rFonts w:eastAsia="仿宋_GB2312"/>
          <w:bCs/>
          <w:kern w:val="0"/>
          <w:sz w:val="32"/>
          <w:szCs w:val="32"/>
        </w:rPr>
        <w:t>（四）参保人员医保关系本市内转移接续，</w:t>
      </w:r>
      <w:r>
        <w:rPr>
          <w:rFonts w:eastAsia="仿宋_GB2312"/>
          <w:kern w:val="0"/>
          <w:sz w:val="32"/>
          <w:szCs w:val="32"/>
        </w:rPr>
        <w:t>按以下办法接续：</w:t>
      </w:r>
    </w:p>
    <w:p>
      <w:pPr>
        <w:widowControl/>
        <w:spacing w:line="580" w:lineRule="exact"/>
        <w:ind w:firstLine="640" w:firstLineChars="200"/>
        <w:jc w:val="left"/>
        <w:rPr>
          <w:rFonts w:eastAsia="仿宋_GB2312"/>
          <w:kern w:val="0"/>
          <w:sz w:val="32"/>
          <w:szCs w:val="32"/>
        </w:rPr>
      </w:pPr>
      <w:r>
        <w:rPr>
          <w:rFonts w:eastAsia="仿宋_GB2312"/>
          <w:kern w:val="0"/>
          <w:sz w:val="32"/>
          <w:szCs w:val="32"/>
        </w:rPr>
        <w:t>1.本市内医保关系转移接续，医保经办机构以增减员方式进行。参保人员个人账户在年度结束后，由市本级和各县（区）医保经办机构进行个人账户资金总结算和资金划拨。</w:t>
      </w:r>
    </w:p>
    <w:p>
      <w:pPr>
        <w:widowControl/>
        <w:spacing w:line="580" w:lineRule="exact"/>
        <w:ind w:firstLine="640" w:firstLineChars="200"/>
        <w:jc w:val="left"/>
        <w:rPr>
          <w:rFonts w:eastAsia="仿宋_GB2312"/>
          <w:kern w:val="0"/>
          <w:sz w:val="32"/>
          <w:szCs w:val="32"/>
        </w:rPr>
      </w:pPr>
      <w:r>
        <w:rPr>
          <w:rFonts w:eastAsia="仿宋_GB2312"/>
          <w:kern w:val="0"/>
          <w:sz w:val="32"/>
          <w:szCs w:val="32"/>
        </w:rPr>
        <w:t>2.中断3个月（含3个月）以内办理接续关系，按规定足额补缴后，连续享受职工基本医疗保险待遇，缴费年限作为连续缴费年限计算。</w:t>
      </w:r>
    </w:p>
    <w:p>
      <w:pPr>
        <w:spacing w:line="580" w:lineRule="exact"/>
        <w:ind w:firstLine="640" w:firstLineChars="200"/>
        <w:rPr>
          <w:rFonts w:eastAsia="仿宋_GB2312"/>
          <w:kern w:val="0"/>
          <w:sz w:val="32"/>
          <w:szCs w:val="32"/>
        </w:rPr>
      </w:pPr>
      <w:r>
        <w:rPr>
          <w:rFonts w:eastAsia="仿宋_GB2312"/>
          <w:kern w:val="0"/>
          <w:sz w:val="32"/>
          <w:szCs w:val="32"/>
        </w:rPr>
        <w:t>3.中断3个月以上6个月以下办理接续关系，按规定足额补缴后，从缴费之日起享受职工基本医疗保险待遇，缴费年限作为连续缴费年限计算。</w:t>
      </w:r>
    </w:p>
    <w:p>
      <w:pPr>
        <w:spacing w:line="580" w:lineRule="exact"/>
        <w:ind w:firstLine="640" w:firstLineChars="200"/>
        <w:rPr>
          <w:rFonts w:eastAsia="仿宋_GB2312"/>
          <w:kern w:val="0"/>
          <w:sz w:val="32"/>
          <w:szCs w:val="32"/>
        </w:rPr>
      </w:pPr>
      <w:r>
        <w:rPr>
          <w:rFonts w:eastAsia="仿宋_GB2312"/>
          <w:kern w:val="0"/>
          <w:sz w:val="32"/>
          <w:szCs w:val="32"/>
        </w:rPr>
        <w:t>4.中断6个月及以上办理接续关系，不再办理补缴，缴费年限作为累计缴费年限计算。重新参保，应按本规程第二条《灵活就业人员参保登记》办理（自缴费之月起的第7个月开始享受基本医疗保险待遇）。</w:t>
      </w:r>
    </w:p>
    <w:p>
      <w:pPr>
        <w:widowControl/>
        <w:shd w:val="clear" w:color="auto" w:fill="FFFFFF"/>
        <w:spacing w:line="580" w:lineRule="exact"/>
        <w:ind w:firstLine="643"/>
        <w:jc w:val="left"/>
        <w:rPr>
          <w:rFonts w:eastAsia="仿宋_GB2312"/>
          <w:kern w:val="0"/>
          <w:sz w:val="32"/>
          <w:szCs w:val="32"/>
        </w:rPr>
      </w:pPr>
      <w:r>
        <w:rPr>
          <w:rFonts w:eastAsia="仿宋_GB2312"/>
          <w:kern w:val="0"/>
          <w:sz w:val="32"/>
          <w:szCs w:val="32"/>
        </w:rPr>
        <w:t>（五）达到法定退休年龄，不再办理基本医疗保险关系的转移。确因特殊原因未能及时办理的</w:t>
      </w:r>
      <w:r>
        <w:rPr>
          <w:rFonts w:hint="eastAsia" w:eastAsia="仿宋_GB2312"/>
          <w:kern w:val="0"/>
          <w:sz w:val="32"/>
          <w:szCs w:val="32"/>
        </w:rPr>
        <w:t>，可</w:t>
      </w:r>
      <w:r>
        <w:rPr>
          <w:rFonts w:eastAsia="仿宋_GB2312"/>
          <w:kern w:val="0"/>
          <w:sz w:val="32"/>
          <w:szCs w:val="32"/>
        </w:rPr>
        <w:t>在法定退休年龄</w:t>
      </w:r>
      <w:r>
        <w:rPr>
          <w:rFonts w:hint="eastAsia" w:eastAsia="仿宋_GB2312"/>
          <w:kern w:val="0"/>
          <w:sz w:val="32"/>
          <w:szCs w:val="32"/>
        </w:rPr>
        <w:t>3个月内申请转移。</w:t>
      </w:r>
    </w:p>
    <w:p>
      <w:pPr>
        <w:widowControl/>
        <w:spacing w:line="580" w:lineRule="exact"/>
        <w:ind w:firstLine="643" w:firstLineChars="200"/>
        <w:jc w:val="left"/>
        <w:rPr>
          <w:rFonts w:eastAsia="楷体_GB2312"/>
          <w:b/>
          <w:sz w:val="32"/>
          <w:szCs w:val="32"/>
        </w:rPr>
      </w:pPr>
      <w:r>
        <w:rPr>
          <w:rFonts w:eastAsia="楷体_GB2312"/>
          <w:b/>
          <w:sz w:val="32"/>
          <w:szCs w:val="32"/>
        </w:rPr>
        <w:t>五、个人账户管理</w:t>
      </w:r>
    </w:p>
    <w:p>
      <w:pPr>
        <w:spacing w:line="580" w:lineRule="exact"/>
        <w:ind w:firstLine="640" w:firstLineChars="200"/>
        <w:jc w:val="left"/>
        <w:rPr>
          <w:rFonts w:eastAsia="仿宋_GB2312"/>
          <w:kern w:val="0"/>
          <w:sz w:val="32"/>
          <w:szCs w:val="32"/>
        </w:rPr>
      </w:pPr>
      <w:r>
        <w:rPr>
          <w:rFonts w:eastAsia="仿宋_GB2312"/>
          <w:kern w:val="0"/>
          <w:sz w:val="32"/>
          <w:szCs w:val="32"/>
        </w:rPr>
        <w:t>（一）医保经办机构对参保单位和个人申报的职工基本医疗保险基础信息进行审核和记录，建立参保人员个人账户。</w:t>
      </w:r>
    </w:p>
    <w:p>
      <w:pPr>
        <w:spacing w:line="580" w:lineRule="exact"/>
        <w:ind w:firstLine="640" w:firstLineChars="200"/>
        <w:jc w:val="left"/>
        <w:rPr>
          <w:rFonts w:eastAsia="仿宋_GB2312"/>
          <w:kern w:val="0"/>
          <w:sz w:val="32"/>
          <w:szCs w:val="32"/>
        </w:rPr>
      </w:pPr>
      <w:r>
        <w:rPr>
          <w:rFonts w:eastAsia="仿宋_GB2312"/>
          <w:kern w:val="0"/>
          <w:sz w:val="32"/>
          <w:szCs w:val="32"/>
        </w:rPr>
        <w:t>（二）参保单位和个人按时足额缴纳职工基本医疗保险费后，医保经办机构按照规定比例及时划拨参保人员个人账户资金。</w:t>
      </w:r>
    </w:p>
    <w:p>
      <w:pPr>
        <w:spacing w:line="580" w:lineRule="exact"/>
        <w:ind w:firstLine="640" w:firstLineChars="200"/>
        <w:jc w:val="left"/>
        <w:rPr>
          <w:rFonts w:eastAsia="仿宋_GB2312"/>
          <w:kern w:val="0"/>
          <w:sz w:val="32"/>
          <w:szCs w:val="32"/>
        </w:rPr>
      </w:pPr>
      <w:r>
        <w:rPr>
          <w:rFonts w:eastAsia="仿宋_GB2312"/>
          <w:kern w:val="0"/>
          <w:sz w:val="32"/>
          <w:szCs w:val="32"/>
        </w:rPr>
        <w:t>1.机关事业单位通过税务平台足额缴纳保险费后，由医保信息系统在收到税务部门反馈的单位费款“入库时间”数据后前台实收上账，自动划拨参保人员个人账户资金。</w:t>
      </w:r>
    </w:p>
    <w:p>
      <w:pPr>
        <w:spacing w:line="580" w:lineRule="exact"/>
        <w:ind w:firstLine="640" w:firstLineChars="200"/>
        <w:jc w:val="left"/>
        <w:rPr>
          <w:rFonts w:eastAsia="仿宋_GB2312"/>
          <w:kern w:val="0"/>
          <w:sz w:val="32"/>
          <w:szCs w:val="32"/>
        </w:rPr>
      </w:pPr>
      <w:r>
        <w:rPr>
          <w:rFonts w:eastAsia="仿宋_GB2312"/>
          <w:kern w:val="0"/>
          <w:sz w:val="32"/>
          <w:szCs w:val="32"/>
        </w:rPr>
        <w:t>2.企业单位足额缴纳保险费至医保经办机构后，由医保经办机构及时通过前台实收上账划拨参保人员个人账户资金。</w:t>
      </w:r>
    </w:p>
    <w:p>
      <w:pPr>
        <w:spacing w:line="580" w:lineRule="exact"/>
        <w:ind w:firstLine="640" w:firstLineChars="200"/>
        <w:jc w:val="left"/>
        <w:rPr>
          <w:rFonts w:eastAsia="仿宋_GB2312"/>
          <w:kern w:val="0"/>
          <w:sz w:val="32"/>
          <w:szCs w:val="32"/>
        </w:rPr>
      </w:pPr>
      <w:r>
        <w:rPr>
          <w:rFonts w:eastAsia="仿宋_GB2312"/>
          <w:kern w:val="0"/>
          <w:sz w:val="32"/>
          <w:szCs w:val="32"/>
        </w:rPr>
        <w:t>3.灵活就业人员在缴纳当年职工医保费后，由医保经办机构即时通过人工实收上账划拨全年的其个人账户资金。</w:t>
      </w:r>
    </w:p>
    <w:p>
      <w:pPr>
        <w:spacing w:line="580" w:lineRule="exact"/>
        <w:ind w:firstLine="640" w:firstLineChars="200"/>
        <w:jc w:val="left"/>
        <w:rPr>
          <w:rFonts w:eastAsia="仿宋_GB2312"/>
          <w:kern w:val="0"/>
          <w:sz w:val="32"/>
          <w:szCs w:val="32"/>
        </w:rPr>
      </w:pPr>
      <w:r>
        <w:rPr>
          <w:rFonts w:eastAsia="仿宋_GB2312"/>
          <w:kern w:val="0"/>
          <w:sz w:val="32"/>
          <w:szCs w:val="32"/>
        </w:rPr>
        <w:t>（三）对退休享受职工基本医疗保险待遇人员的个人账户，医保经办机构应在每月前5个工作日内及时划拨，不得采取一次性划拨多月做法。</w:t>
      </w:r>
    </w:p>
    <w:p>
      <w:pPr>
        <w:spacing w:line="580" w:lineRule="exact"/>
        <w:ind w:firstLine="643" w:firstLineChars="200"/>
        <w:jc w:val="left"/>
        <w:rPr>
          <w:rFonts w:eastAsia="楷体_GB2312"/>
          <w:b/>
          <w:sz w:val="32"/>
          <w:szCs w:val="32"/>
        </w:rPr>
      </w:pPr>
      <w:r>
        <w:rPr>
          <w:rFonts w:eastAsia="楷体_GB2312"/>
          <w:b/>
          <w:sz w:val="32"/>
          <w:szCs w:val="32"/>
        </w:rPr>
        <w:t>六、财务对账</w:t>
      </w:r>
    </w:p>
    <w:p>
      <w:pPr>
        <w:spacing w:line="580" w:lineRule="exact"/>
        <w:ind w:firstLine="643" w:firstLineChars="200"/>
        <w:rPr>
          <w:rFonts w:eastAsia="仿宋_GB2312"/>
          <w:b/>
          <w:kern w:val="0"/>
          <w:sz w:val="32"/>
          <w:szCs w:val="32"/>
        </w:rPr>
      </w:pPr>
      <w:r>
        <w:rPr>
          <w:rFonts w:eastAsia="仿宋_GB2312"/>
          <w:b/>
          <w:kern w:val="0"/>
          <w:sz w:val="32"/>
          <w:szCs w:val="32"/>
        </w:rPr>
        <w:t>（一）税务部门对账</w:t>
      </w:r>
    </w:p>
    <w:p>
      <w:pPr>
        <w:spacing w:line="580" w:lineRule="exact"/>
        <w:ind w:firstLine="640" w:firstLineChars="200"/>
        <w:rPr>
          <w:rFonts w:eastAsia="仿宋_GB2312"/>
          <w:kern w:val="0"/>
          <w:sz w:val="32"/>
          <w:szCs w:val="32"/>
        </w:rPr>
      </w:pPr>
      <w:r>
        <w:rPr>
          <w:rFonts w:eastAsia="仿宋_GB2312"/>
          <w:kern w:val="0"/>
          <w:sz w:val="32"/>
          <w:szCs w:val="32"/>
        </w:rPr>
        <w:t>严格执行国家税务总局四川省税务局等部门转发《关于平稳有序做好社会保险费征管职责划转后征缴工作的通知》（川税发〔2019〕5号）规定，医保费由税务机关征收后，采取先缴入国库（含代理国库）再划转至社会保障基金财政社保专户方式。</w:t>
      </w:r>
    </w:p>
    <w:p>
      <w:pPr>
        <w:spacing w:line="580" w:lineRule="exact"/>
        <w:ind w:firstLine="640" w:firstLineChars="200"/>
        <w:rPr>
          <w:rFonts w:eastAsia="仿宋_GB2312"/>
          <w:kern w:val="0"/>
          <w:sz w:val="32"/>
          <w:szCs w:val="32"/>
        </w:rPr>
      </w:pPr>
      <w:r>
        <w:rPr>
          <w:rFonts w:eastAsia="仿宋_GB2312"/>
          <w:kern w:val="0"/>
          <w:sz w:val="32"/>
          <w:szCs w:val="32"/>
        </w:rPr>
        <w:t>税务部门征收医保费后，应按照个人权益记录项目通过信息共享平台向医保部门逐条实时反馈匹配一致的医疗保障费缴费工资基数申报、扣款信息和入库信息，按日汇总入库信息生成分险种征收汇总表，加盖国家税务总局四川省税务局电子缴款专用章，通过信息共享平台传给医保部门，据此核算医保基金收入。</w:t>
      </w:r>
    </w:p>
    <w:p>
      <w:pPr>
        <w:spacing w:line="580" w:lineRule="exact"/>
        <w:ind w:firstLine="640" w:firstLineChars="200"/>
        <w:rPr>
          <w:rFonts w:eastAsia="仿宋_GB2312"/>
          <w:sz w:val="32"/>
          <w:szCs w:val="32"/>
        </w:rPr>
      </w:pPr>
      <w:r>
        <w:rPr>
          <w:rFonts w:eastAsia="仿宋_GB2312"/>
          <w:kern w:val="0"/>
          <w:sz w:val="32"/>
          <w:szCs w:val="32"/>
        </w:rPr>
        <w:t>在信息共享平台</w:t>
      </w:r>
      <w:r>
        <w:rPr>
          <w:rFonts w:hint="eastAsia" w:eastAsia="仿宋_GB2312"/>
          <w:kern w:val="0"/>
          <w:sz w:val="32"/>
          <w:szCs w:val="32"/>
        </w:rPr>
        <w:t>未建立完善前采取以下模式操作：</w:t>
      </w:r>
      <w:r>
        <w:rPr>
          <w:rFonts w:eastAsia="仿宋_GB2312"/>
          <w:kern w:val="0"/>
          <w:sz w:val="32"/>
          <w:szCs w:val="32"/>
        </w:rPr>
        <w:t>月度和年度终了3个工作日内，</w:t>
      </w:r>
      <w:r>
        <w:rPr>
          <w:rFonts w:eastAsia="仿宋_GB2312"/>
          <w:sz w:val="32"/>
          <w:szCs w:val="32"/>
        </w:rPr>
        <w:t>各级税务部门向同级医保部门提供加盖公章的分险种征收日对账表和国家金库收入月报表复印件，医保部门在医保信息系统中对应模块按“税务入国库时间”核对相符后用作记账依据，核算收入；各县（区）医保局同时向市医保局报送分险种的收入上解表。</w:t>
      </w:r>
    </w:p>
    <w:p>
      <w:pPr>
        <w:spacing w:line="580" w:lineRule="exact"/>
        <w:ind w:firstLine="640" w:firstLineChars="200"/>
        <w:rPr>
          <w:rFonts w:eastAsia="仿宋_GB2312"/>
          <w:sz w:val="32"/>
          <w:szCs w:val="32"/>
        </w:rPr>
      </w:pPr>
      <w:r>
        <w:rPr>
          <w:rFonts w:eastAsia="仿宋_GB2312"/>
          <w:sz w:val="32"/>
          <w:szCs w:val="32"/>
        </w:rPr>
        <w:t>月度终了5个工作日内，市税务局向市医保局提供分险种的各县（区）国家金库收入月报表复印件，市医保局汇总后与市财政局对账并申请划拨资金。</w:t>
      </w:r>
    </w:p>
    <w:p>
      <w:pPr>
        <w:spacing w:line="580" w:lineRule="exact"/>
        <w:ind w:firstLine="643" w:firstLineChars="200"/>
        <w:rPr>
          <w:rFonts w:eastAsia="仿宋_GB2312"/>
          <w:b/>
          <w:sz w:val="32"/>
          <w:szCs w:val="32"/>
        </w:rPr>
      </w:pPr>
      <w:r>
        <w:rPr>
          <w:rFonts w:eastAsia="仿宋_GB2312"/>
          <w:b/>
          <w:sz w:val="32"/>
          <w:szCs w:val="32"/>
        </w:rPr>
        <w:t>（二）医保部门对账</w:t>
      </w:r>
    </w:p>
    <w:p>
      <w:pPr>
        <w:spacing w:line="580" w:lineRule="exact"/>
        <w:ind w:firstLine="640" w:firstLineChars="200"/>
        <w:rPr>
          <w:rFonts w:eastAsia="仿宋_GB2312"/>
          <w:sz w:val="32"/>
          <w:szCs w:val="32"/>
        </w:rPr>
      </w:pPr>
      <w:r>
        <w:rPr>
          <w:rFonts w:eastAsia="仿宋_GB2312"/>
          <w:kern w:val="0"/>
          <w:sz w:val="32"/>
          <w:szCs w:val="32"/>
        </w:rPr>
        <w:t>每月25日作为扎账日，医保经办机构应做好收入台账，收到银行对账单后，在信息系统中对应模块进行核对，确保票款一致。对未能开票确收的资金做好台帐，及时清理，做到日清月结。</w:t>
      </w:r>
    </w:p>
    <w:p>
      <w:pPr>
        <w:spacing w:line="580" w:lineRule="exact"/>
        <w:ind w:firstLine="640" w:firstLineChars="200"/>
        <w:rPr>
          <w:rFonts w:eastAsia="仿宋_GB2312"/>
          <w:kern w:val="0"/>
          <w:sz w:val="32"/>
          <w:szCs w:val="32"/>
        </w:rPr>
      </w:pPr>
      <w:r>
        <w:rPr>
          <w:rFonts w:eastAsia="仿宋_GB2312"/>
          <w:kern w:val="0"/>
          <w:sz w:val="32"/>
          <w:szCs w:val="32"/>
        </w:rPr>
        <w:t>职工医保基金应按“财务科目分解记录明细”模块中分账金额核算收入。医保经办机构应督促软件公司尽快完善系统模块，确保数据与“五险统征月扎明细表”和“个体人员参保日结算单”中数据一致。</w:t>
      </w:r>
    </w:p>
    <w:p>
      <w:pPr>
        <w:spacing w:line="580" w:lineRule="exact"/>
        <w:ind w:firstLine="645"/>
        <w:rPr>
          <w:rFonts w:eastAsia="楷体_GB2312"/>
          <w:b/>
          <w:sz w:val="32"/>
          <w:szCs w:val="32"/>
        </w:rPr>
      </w:pPr>
      <w:r>
        <w:rPr>
          <w:rFonts w:eastAsia="楷体_GB2312"/>
          <w:b/>
          <w:sz w:val="32"/>
          <w:szCs w:val="32"/>
        </w:rPr>
        <w:t>七、票据开具</w:t>
      </w:r>
    </w:p>
    <w:p>
      <w:pPr>
        <w:spacing w:line="580" w:lineRule="exact"/>
        <w:ind w:firstLine="645"/>
        <w:rPr>
          <w:rFonts w:eastAsia="仿宋_GB2312"/>
          <w:sz w:val="32"/>
          <w:szCs w:val="32"/>
        </w:rPr>
      </w:pPr>
      <w:r>
        <w:rPr>
          <w:rFonts w:eastAsia="仿宋_GB2312"/>
          <w:sz w:val="32"/>
          <w:szCs w:val="32"/>
        </w:rPr>
        <w:t>税务部门办税服务厅应为缴费单位开具纸质税收缴款书、税收完税证明、社会保险费缴费证明；在电子税务局缴费的应开具税收完税证明、社会保险费缴费证明。</w:t>
      </w:r>
    </w:p>
    <w:p>
      <w:pPr>
        <w:spacing w:line="580" w:lineRule="exact"/>
        <w:ind w:firstLine="645"/>
        <w:rPr>
          <w:rFonts w:eastAsia="仿宋_GB2312"/>
          <w:sz w:val="32"/>
          <w:szCs w:val="32"/>
        </w:rPr>
      </w:pPr>
      <w:r>
        <w:rPr>
          <w:rFonts w:eastAsia="仿宋_GB2312"/>
          <w:sz w:val="32"/>
          <w:szCs w:val="32"/>
        </w:rPr>
        <w:t>医保经办机构应为企业单位和灵活就业人员出具《社会保险费专用票据》。</w:t>
      </w:r>
    </w:p>
    <w:p>
      <w:pPr>
        <w:spacing w:line="580" w:lineRule="exact"/>
        <w:ind w:firstLine="645"/>
        <w:rPr>
          <w:rFonts w:eastAsia="仿宋"/>
          <w:sz w:val="32"/>
          <w:szCs w:val="32"/>
        </w:rPr>
      </w:pPr>
    </w:p>
    <w:p>
      <w:pPr>
        <w:spacing w:line="580" w:lineRule="exact"/>
        <w:jc w:val="center"/>
        <w:rPr>
          <w:rFonts w:eastAsia="黑体"/>
          <w:sz w:val="32"/>
          <w:szCs w:val="32"/>
        </w:rPr>
      </w:pPr>
      <w:r>
        <w:rPr>
          <w:rFonts w:eastAsia="黑体"/>
          <w:sz w:val="32"/>
          <w:szCs w:val="32"/>
        </w:rPr>
        <w:t>第二章  待遇支付管理</w:t>
      </w:r>
    </w:p>
    <w:p>
      <w:pPr>
        <w:spacing w:line="580" w:lineRule="exact"/>
        <w:ind w:firstLine="643" w:firstLineChars="200"/>
        <w:rPr>
          <w:rFonts w:eastAsia="楷体_GB2312"/>
          <w:b/>
          <w:sz w:val="32"/>
          <w:szCs w:val="32"/>
        </w:rPr>
      </w:pPr>
      <w:r>
        <w:rPr>
          <w:rFonts w:eastAsia="楷体_GB2312"/>
          <w:b/>
          <w:sz w:val="32"/>
          <w:szCs w:val="32"/>
        </w:rPr>
        <w:t>一、基本医疗服务管理</w:t>
      </w:r>
    </w:p>
    <w:p>
      <w:pPr>
        <w:spacing w:line="580" w:lineRule="exact"/>
        <w:ind w:firstLine="640" w:firstLineChars="200"/>
        <w:rPr>
          <w:rFonts w:eastAsia="仿宋_GB2312"/>
          <w:sz w:val="32"/>
          <w:szCs w:val="32"/>
        </w:rPr>
      </w:pPr>
      <w:r>
        <w:rPr>
          <w:rFonts w:eastAsia="仿宋_GB2312"/>
          <w:sz w:val="32"/>
          <w:szCs w:val="32"/>
        </w:rPr>
        <w:t>（一）参保患者可持社会保障卡到市内所有基本医疗保险定点医药机构和市外直接结算联网医药机构刷卡就医、购药。</w:t>
      </w:r>
    </w:p>
    <w:p>
      <w:pPr>
        <w:spacing w:line="580" w:lineRule="exact"/>
        <w:ind w:firstLine="640" w:firstLineChars="200"/>
        <w:rPr>
          <w:rFonts w:eastAsia="仿宋_GB2312"/>
          <w:sz w:val="32"/>
          <w:szCs w:val="32"/>
        </w:rPr>
      </w:pPr>
      <w:r>
        <w:rPr>
          <w:rFonts w:eastAsia="仿宋_GB2312"/>
          <w:sz w:val="32"/>
          <w:szCs w:val="32"/>
        </w:rPr>
        <w:t>（二）职工基本医疗保险实行“首诊负责制”。首诊医院诊治医生开具“入院证”或“转诊单”，凭“入院证”、身份证或社会保障卡办理入院手续。因社会保障卡损坏或遗失、网络异常等原因造成无法刷卡的，需到各级人社局信息中心处理，并在入院后2个工作日内补刷。</w:t>
      </w:r>
    </w:p>
    <w:p>
      <w:pPr>
        <w:spacing w:line="580" w:lineRule="exact"/>
        <w:ind w:firstLine="640" w:firstLineChars="200"/>
        <w:rPr>
          <w:rFonts w:eastAsia="仿宋_GB2312"/>
          <w:sz w:val="32"/>
          <w:szCs w:val="32"/>
        </w:rPr>
      </w:pPr>
      <w:r>
        <w:rPr>
          <w:rFonts w:eastAsia="仿宋_GB2312"/>
          <w:sz w:val="32"/>
          <w:szCs w:val="32"/>
        </w:rPr>
        <w:t>（三）诊治医院应于入院后2个工作日内将参保患者就诊信息上传到所属医保经办机构，并实时上传诊疗明细。</w:t>
      </w:r>
    </w:p>
    <w:p>
      <w:pPr>
        <w:spacing w:line="580" w:lineRule="exact"/>
        <w:ind w:firstLine="640" w:firstLineChars="200"/>
        <w:rPr>
          <w:rFonts w:eastAsia="仿宋_GB2312"/>
          <w:sz w:val="32"/>
          <w:szCs w:val="32"/>
        </w:rPr>
      </w:pPr>
      <w:r>
        <w:rPr>
          <w:rFonts w:eastAsia="仿宋_GB2312"/>
          <w:sz w:val="32"/>
          <w:szCs w:val="32"/>
        </w:rPr>
        <w:t xml:space="preserve">  参保患者重复住院按照眉山市医疗保障定点医疗机构服务协议相关规定执行。</w:t>
      </w:r>
    </w:p>
    <w:p>
      <w:pPr>
        <w:spacing w:line="580" w:lineRule="exact"/>
        <w:ind w:firstLine="640" w:firstLineChars="200"/>
        <w:rPr>
          <w:rFonts w:eastAsia="仿宋_GB2312"/>
          <w:sz w:val="32"/>
          <w:szCs w:val="32"/>
        </w:rPr>
      </w:pPr>
      <w:r>
        <w:rPr>
          <w:rFonts w:eastAsia="仿宋_GB2312"/>
          <w:sz w:val="32"/>
          <w:szCs w:val="32"/>
        </w:rPr>
        <w:t>（四）职工基本医疗保险实行“双向转诊制度”。</w:t>
      </w:r>
    </w:p>
    <w:p>
      <w:pPr>
        <w:spacing w:line="580" w:lineRule="exact"/>
        <w:ind w:firstLine="640" w:firstLineChars="200"/>
        <w:rPr>
          <w:rFonts w:eastAsia="仿宋_GB2312"/>
          <w:sz w:val="32"/>
          <w:szCs w:val="32"/>
        </w:rPr>
      </w:pPr>
      <w:r>
        <w:rPr>
          <w:rFonts w:eastAsia="仿宋_GB2312"/>
          <w:sz w:val="32"/>
          <w:szCs w:val="32"/>
        </w:rPr>
        <w:t>1.市内转诊转院。如病情需要在市内转诊转院时，不再向医保经办机构申请备案，但应坚持“基层首诊，逐级转诊”原则。由下级医疗机构向就近上级医疗机构逐级转诊转院，病情相对稳定后，可转到下级医疗机构继续治疗。</w:t>
      </w:r>
    </w:p>
    <w:p>
      <w:pPr>
        <w:spacing w:line="580" w:lineRule="exact"/>
        <w:ind w:firstLine="640" w:firstLineChars="200"/>
        <w:rPr>
          <w:rFonts w:eastAsia="仿宋_GB2312"/>
          <w:sz w:val="32"/>
          <w:szCs w:val="32"/>
        </w:rPr>
      </w:pPr>
      <w:r>
        <w:rPr>
          <w:rFonts w:eastAsia="仿宋_GB2312"/>
          <w:sz w:val="32"/>
          <w:szCs w:val="32"/>
        </w:rPr>
        <w:t>2.市外转诊转院。如病情需要转市外治疗，应按照《眉山市职工医疗保险与生育保险管理办法》（眉府办发</w:t>
      </w:r>
      <w:r>
        <w:rPr>
          <w:rFonts w:eastAsia="仿宋_GB2312"/>
          <w:color w:val="000000"/>
          <w:sz w:val="32"/>
          <w:szCs w:val="32"/>
        </w:rPr>
        <w:t>〔2020〕</w:t>
      </w:r>
      <w:r>
        <w:rPr>
          <w:rFonts w:eastAsia="仿宋_GB2312"/>
          <w:sz w:val="32"/>
          <w:szCs w:val="32"/>
        </w:rPr>
        <w:t>3号）、</w:t>
      </w:r>
      <w:r>
        <w:rPr>
          <w:rFonts w:eastAsia="仿宋_GB2312"/>
          <w:color w:val="000000" w:themeColor="text1"/>
          <w:sz w:val="32"/>
          <w:szCs w:val="32"/>
        </w:rPr>
        <w:t>眉山市医疗保险异地就医管理规定，</w:t>
      </w:r>
      <w:r>
        <w:rPr>
          <w:rFonts w:eastAsia="仿宋_GB2312"/>
          <w:color w:val="000000"/>
          <w:sz w:val="32"/>
          <w:szCs w:val="32"/>
        </w:rPr>
        <w:t>办理转诊转院手续，逐级转诊，</w:t>
      </w:r>
      <w:r>
        <w:rPr>
          <w:rFonts w:eastAsia="仿宋_GB2312"/>
          <w:sz w:val="32"/>
          <w:szCs w:val="32"/>
        </w:rPr>
        <w:t>转入医院须是“四川省医疗保险异地就医直接结算”联网医院。医保经办机构对符合转诊转院规定的参保患者予以登记，录入转诊转院资料。</w:t>
      </w:r>
      <w:r>
        <w:rPr>
          <w:rFonts w:hint="eastAsia" w:eastAsia="仿宋_GB2312"/>
          <w:sz w:val="32"/>
          <w:szCs w:val="32"/>
        </w:rPr>
        <w:t>转省外治疗</w:t>
      </w:r>
      <w:r>
        <w:rPr>
          <w:rFonts w:eastAsia="仿宋_GB2312"/>
          <w:sz w:val="32"/>
          <w:szCs w:val="32"/>
        </w:rPr>
        <w:t>的应提供我市指定或省医保规定医院出具的转诊转院证明。</w:t>
      </w:r>
    </w:p>
    <w:p>
      <w:pPr>
        <w:spacing w:line="580" w:lineRule="exact"/>
        <w:ind w:firstLine="640" w:firstLineChars="200"/>
        <w:rPr>
          <w:rFonts w:eastAsia="仿宋_GB2312"/>
          <w:sz w:val="32"/>
          <w:szCs w:val="32"/>
        </w:rPr>
      </w:pPr>
      <w:r>
        <w:rPr>
          <w:rFonts w:eastAsia="仿宋_GB2312"/>
          <w:sz w:val="32"/>
          <w:szCs w:val="32"/>
        </w:rPr>
        <w:t>（五）参保人员因公出差、探亲或旅游等期间突发疾病，在已开通异地就医直接结算定点医院诊疗，</w:t>
      </w:r>
      <w:r>
        <w:rPr>
          <w:rFonts w:eastAsia="仿宋_GB2312"/>
          <w:color w:val="000000"/>
          <w:sz w:val="32"/>
          <w:szCs w:val="32"/>
        </w:rPr>
        <w:t>按照</w:t>
      </w:r>
      <w:r>
        <w:rPr>
          <w:rFonts w:eastAsia="仿宋_GB2312"/>
          <w:color w:val="000000" w:themeColor="text1"/>
          <w:sz w:val="32"/>
          <w:szCs w:val="32"/>
        </w:rPr>
        <w:t>眉山市医疗保险异地就医管理规定执行；在未开通异地就医直接结算医院诊</w:t>
      </w:r>
      <w:r>
        <w:rPr>
          <w:rFonts w:eastAsia="仿宋_GB2312"/>
          <w:sz w:val="32"/>
          <w:szCs w:val="32"/>
        </w:rPr>
        <w:t>疗的，在</w:t>
      </w:r>
      <w:r>
        <w:rPr>
          <w:rFonts w:hint="eastAsia" w:eastAsia="仿宋_GB2312"/>
          <w:sz w:val="32"/>
          <w:szCs w:val="32"/>
        </w:rPr>
        <w:t>次年2月28日前</w:t>
      </w:r>
      <w:r>
        <w:rPr>
          <w:rFonts w:eastAsia="仿宋_GB2312"/>
          <w:sz w:val="32"/>
          <w:szCs w:val="32"/>
        </w:rPr>
        <w:t>将有关材料交到参保地医保经办机构审核，经确认后，按照《眉山市职工医疗保险与生育保险管理办法》（眉府办发</w:t>
      </w:r>
      <w:r>
        <w:rPr>
          <w:rFonts w:eastAsia="仿宋_GB2312"/>
          <w:color w:val="000000"/>
          <w:sz w:val="32"/>
          <w:szCs w:val="32"/>
        </w:rPr>
        <w:t>〔2020〕</w:t>
      </w:r>
      <w:r>
        <w:rPr>
          <w:rFonts w:eastAsia="仿宋_GB2312"/>
          <w:sz w:val="32"/>
          <w:szCs w:val="32"/>
        </w:rPr>
        <w:t>3号）相关规定执行。</w:t>
      </w:r>
    </w:p>
    <w:p>
      <w:pPr>
        <w:spacing w:line="580" w:lineRule="exact"/>
        <w:ind w:firstLine="640" w:firstLineChars="200"/>
        <w:rPr>
          <w:rFonts w:eastAsia="仿宋_GB2312"/>
          <w:color w:val="000000" w:themeColor="text1"/>
          <w:sz w:val="32"/>
          <w:szCs w:val="32"/>
        </w:rPr>
      </w:pPr>
      <w:r>
        <w:rPr>
          <w:rFonts w:eastAsia="仿宋_GB2312"/>
          <w:sz w:val="32"/>
          <w:szCs w:val="32"/>
        </w:rPr>
        <w:t>（六）</w:t>
      </w:r>
      <w:r>
        <w:rPr>
          <w:rFonts w:eastAsia="仿宋_GB2312"/>
          <w:color w:val="000000" w:themeColor="text1"/>
          <w:sz w:val="32"/>
          <w:szCs w:val="32"/>
        </w:rPr>
        <w:t>外伤入院参照眉山市医疗保险参保人员外伤住院经办流程相关规定执行。</w:t>
      </w:r>
    </w:p>
    <w:p>
      <w:pPr>
        <w:spacing w:line="580" w:lineRule="exact"/>
        <w:ind w:firstLine="640" w:firstLineChars="200"/>
        <w:rPr>
          <w:rFonts w:eastAsia="仿宋_GB2312"/>
          <w:color w:val="000000"/>
          <w:sz w:val="32"/>
          <w:szCs w:val="32"/>
        </w:rPr>
      </w:pPr>
      <w:r>
        <w:rPr>
          <w:rFonts w:eastAsia="仿宋_GB2312"/>
          <w:sz w:val="32"/>
          <w:szCs w:val="32"/>
        </w:rPr>
        <w:t>（七）凡符合《四川省医疗保险异地就医管理办法》（川医保发〔2019〕16号）规定的异地就医条件人员，应到就医地已开展异地就医直接结算业务的定点机构就医购药，</w:t>
      </w:r>
      <w:r>
        <w:rPr>
          <w:rFonts w:eastAsia="仿宋_GB2312"/>
          <w:color w:val="000000" w:themeColor="text1"/>
          <w:sz w:val="32"/>
          <w:szCs w:val="32"/>
        </w:rPr>
        <w:t>具体按照眉山市医疗保险异地就医管理规定相关规定执行</w:t>
      </w:r>
      <w:r>
        <w:rPr>
          <w:rFonts w:eastAsia="仿宋_GB2312"/>
          <w:color w:val="000000"/>
          <w:sz w:val="32"/>
          <w:szCs w:val="32"/>
        </w:rPr>
        <w:t>。</w:t>
      </w:r>
    </w:p>
    <w:p>
      <w:pPr>
        <w:spacing w:line="580" w:lineRule="exact"/>
        <w:ind w:firstLine="640" w:firstLineChars="200"/>
        <w:rPr>
          <w:rFonts w:eastAsia="仿宋_GB2312"/>
          <w:sz w:val="32"/>
          <w:szCs w:val="32"/>
        </w:rPr>
      </w:pPr>
      <w:r>
        <w:rPr>
          <w:rFonts w:eastAsia="仿宋_GB2312"/>
          <w:sz w:val="32"/>
          <w:szCs w:val="32"/>
        </w:rPr>
        <w:t>（八）对群体性突发性疾病、自然灾害等因素造成急危、重症病人救治所发生的医疗费用，各县（区）医保经办机构应及时向市医保局报告，市医保局统一采取积极有效措施进行妥善处理。</w:t>
      </w:r>
    </w:p>
    <w:p>
      <w:pPr>
        <w:spacing w:line="580" w:lineRule="exact"/>
        <w:ind w:firstLine="640" w:firstLineChars="200"/>
        <w:rPr>
          <w:rFonts w:eastAsia="仿宋_GB2312"/>
          <w:sz w:val="32"/>
          <w:szCs w:val="32"/>
        </w:rPr>
      </w:pPr>
      <w:r>
        <w:rPr>
          <w:rFonts w:eastAsia="仿宋_GB2312"/>
          <w:sz w:val="32"/>
          <w:szCs w:val="32"/>
        </w:rPr>
        <w:t>（九）门诊特殊疾病由个人、单位或治疗机构向医保经办机构申报，同时提供以下资料：</w:t>
      </w:r>
    </w:p>
    <w:p>
      <w:pPr>
        <w:spacing w:line="58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眉山市基本医疗保险</w:t>
      </w:r>
      <w:r>
        <w:rPr>
          <w:rFonts w:eastAsia="仿宋_GB2312"/>
          <w:sz w:val="32"/>
          <w:szCs w:val="32"/>
        </w:rPr>
        <w:t>门诊特殊疾病</w:t>
      </w:r>
      <w:r>
        <w:rPr>
          <w:rFonts w:hint="eastAsia" w:eastAsia="仿宋_GB2312"/>
          <w:sz w:val="32"/>
          <w:szCs w:val="32"/>
        </w:rPr>
        <w:t>申请表；</w:t>
      </w:r>
    </w:p>
    <w:p>
      <w:pPr>
        <w:spacing w:line="58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.身份证或社会保障卡复印件；</w:t>
      </w:r>
    </w:p>
    <w:p>
      <w:pPr>
        <w:spacing w:line="58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.住院病历、出院证明（小结）或1年内的门诊证明；</w:t>
      </w:r>
    </w:p>
    <w:p>
      <w:pPr>
        <w:spacing w:line="58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.符合申报病种标准的检验、检查报告单。如糖尿病须符合：不同时间两次以上符合糖尿病诊断标准的静脉血糖检验报告单（空腹及餐后2小时/OGTT2小时）。</w:t>
      </w:r>
    </w:p>
    <w:p>
      <w:pPr>
        <w:spacing w:line="580" w:lineRule="exact"/>
        <w:ind w:firstLine="640" w:firstLineChars="200"/>
        <w:rPr>
          <w:rFonts w:eastAsia="仿宋_GB2312"/>
          <w:color w:val="000000"/>
          <w:sz w:val="32"/>
          <w:szCs w:val="32"/>
        </w:rPr>
      </w:pPr>
      <w:r>
        <w:rPr>
          <w:rFonts w:eastAsia="仿宋_GB2312"/>
          <w:sz w:val="32"/>
          <w:szCs w:val="32"/>
        </w:rPr>
        <w:t>（十）医保经办机构对通过审核的门诊特殊疾病人员，录入门诊特殊疾病信息库，建立门诊特殊疾病档案库，</w:t>
      </w:r>
      <w:r>
        <w:rPr>
          <w:rFonts w:eastAsia="仿宋_GB2312"/>
          <w:color w:val="000000"/>
          <w:sz w:val="32"/>
          <w:szCs w:val="32"/>
        </w:rPr>
        <w:t>按照</w:t>
      </w:r>
      <w:r>
        <w:rPr>
          <w:rFonts w:eastAsia="仿宋_GB2312"/>
          <w:color w:val="000000" w:themeColor="text1"/>
          <w:sz w:val="32"/>
          <w:szCs w:val="32"/>
        </w:rPr>
        <w:t>眉山市基本医疗保险门诊特殊疾病管理规定</w:t>
      </w:r>
      <w:r>
        <w:rPr>
          <w:rFonts w:eastAsia="仿宋_GB2312"/>
          <w:color w:val="000000"/>
          <w:sz w:val="32"/>
          <w:szCs w:val="32"/>
        </w:rPr>
        <w:t>的相关规定执行。</w:t>
      </w:r>
    </w:p>
    <w:p>
      <w:pPr>
        <w:spacing w:line="580" w:lineRule="exact"/>
        <w:ind w:firstLine="640" w:firstLineChars="200"/>
        <w:rPr>
          <w:rFonts w:eastAsia="仿宋_GB2312"/>
          <w:sz w:val="32"/>
          <w:szCs w:val="32"/>
        </w:rPr>
      </w:pPr>
      <w:r>
        <w:rPr>
          <w:rFonts w:eastAsia="仿宋_GB2312"/>
          <w:sz w:val="32"/>
          <w:szCs w:val="32"/>
        </w:rPr>
        <w:t>（十一）市内就医档案按照档案资料生成实行属地管理原则，在就医地产生的档案由就医地医保经办机构按照《社会保险业务档案管理办法》规范存档，并为参保地医保经办机构提供利用服务。</w:t>
      </w:r>
    </w:p>
    <w:p>
      <w:pPr>
        <w:spacing w:line="580" w:lineRule="exact"/>
        <w:ind w:firstLine="643" w:firstLineChars="200"/>
        <w:rPr>
          <w:rFonts w:eastAsia="楷体_GB2312"/>
          <w:b/>
          <w:sz w:val="32"/>
          <w:szCs w:val="32"/>
        </w:rPr>
      </w:pPr>
      <w:r>
        <w:rPr>
          <w:rFonts w:eastAsia="楷体_GB2312"/>
          <w:b/>
          <w:sz w:val="32"/>
          <w:szCs w:val="32"/>
        </w:rPr>
        <w:t>二、基本医疗费用结算</w:t>
      </w:r>
    </w:p>
    <w:p>
      <w:pPr>
        <w:spacing w:line="580" w:lineRule="exact"/>
        <w:ind w:firstLine="640" w:firstLineChars="200"/>
        <w:rPr>
          <w:rFonts w:eastAsia="仿宋_GB2312"/>
          <w:color w:val="FF0000"/>
          <w:sz w:val="32"/>
          <w:szCs w:val="32"/>
        </w:rPr>
      </w:pPr>
      <w:r>
        <w:rPr>
          <w:rFonts w:eastAsia="仿宋_GB2312"/>
          <w:sz w:val="32"/>
          <w:szCs w:val="32"/>
        </w:rPr>
        <w:t>（一）职工基本医疗保险实行“三个目录”管理，使用全省统一编制的新编码。全市所有定点医疗机构、定点零售药店统一执行《四川省基本医疗保险、工作保险和生育保险药品目录》《四川省基本医疗保险诊疗项目目录》和《四川省基本医疗保险医疗服务设施范围和支付标准》。</w:t>
      </w:r>
    </w:p>
    <w:p>
      <w:pPr>
        <w:spacing w:line="580" w:lineRule="exact"/>
        <w:ind w:firstLine="640" w:firstLineChars="200"/>
        <w:rPr>
          <w:rFonts w:eastAsia="仿宋_GB2312"/>
          <w:sz w:val="32"/>
          <w:szCs w:val="32"/>
        </w:rPr>
      </w:pPr>
      <w:r>
        <w:rPr>
          <w:rFonts w:eastAsia="仿宋_GB2312"/>
          <w:sz w:val="32"/>
          <w:szCs w:val="32"/>
        </w:rPr>
        <w:t>（二）在职工基本医疗保险定点医疗机构发生的医疗费用实行直接结算，下列情况发生的费用可到医保经办机构进行零星报销。</w:t>
      </w:r>
    </w:p>
    <w:p>
      <w:pPr>
        <w:spacing w:line="580" w:lineRule="exact"/>
        <w:ind w:firstLine="640" w:firstLineChars="200"/>
        <w:rPr>
          <w:rFonts w:eastAsia="仿宋_GB2312"/>
          <w:sz w:val="32"/>
          <w:szCs w:val="32"/>
        </w:rPr>
      </w:pPr>
      <w:r>
        <w:rPr>
          <w:rFonts w:eastAsia="仿宋_GB2312"/>
          <w:sz w:val="32"/>
          <w:szCs w:val="32"/>
        </w:rPr>
        <w:t>1.急救、抢救等原因在非定点医院住院的医疗费；</w:t>
      </w:r>
    </w:p>
    <w:p>
      <w:pPr>
        <w:spacing w:line="580" w:lineRule="exact"/>
        <w:ind w:firstLine="640" w:firstLineChars="200"/>
        <w:rPr>
          <w:rFonts w:eastAsia="仿宋_GB2312"/>
          <w:sz w:val="32"/>
          <w:szCs w:val="32"/>
        </w:rPr>
      </w:pPr>
      <w:r>
        <w:rPr>
          <w:rFonts w:eastAsia="仿宋_GB2312"/>
          <w:sz w:val="32"/>
          <w:szCs w:val="32"/>
        </w:rPr>
        <w:t>2.经医保经办机构同意转市外治疗、异地居住或安置产生的住院医疗费用，因系统故障等因素未能直接结算的，或在出差、探亲、旅游等期间突发疾病在就诊地未开通异地联网直接结算医院产生的住院费用。</w:t>
      </w:r>
    </w:p>
    <w:p>
      <w:pPr>
        <w:spacing w:line="580" w:lineRule="exact"/>
        <w:ind w:firstLine="640" w:firstLineChars="200"/>
        <w:rPr>
          <w:rFonts w:eastAsia="仿宋_GB2312"/>
          <w:color w:val="000000"/>
          <w:sz w:val="32"/>
          <w:szCs w:val="32"/>
        </w:rPr>
      </w:pPr>
      <w:r>
        <w:rPr>
          <w:rFonts w:eastAsia="仿宋_GB2312"/>
          <w:color w:val="000000"/>
          <w:sz w:val="32"/>
          <w:szCs w:val="32"/>
        </w:rPr>
        <w:t>以上医疗费用，</w:t>
      </w:r>
      <w:r>
        <w:rPr>
          <w:rFonts w:hint="eastAsia" w:eastAsia="仿宋_GB2312"/>
          <w:color w:val="000000"/>
          <w:sz w:val="32"/>
          <w:szCs w:val="32"/>
        </w:rPr>
        <w:t>在</w:t>
      </w:r>
      <w:r>
        <w:rPr>
          <w:rFonts w:eastAsia="仿宋_GB2312"/>
          <w:color w:val="000000"/>
          <w:sz w:val="32"/>
          <w:szCs w:val="32"/>
        </w:rPr>
        <w:t>次年</w:t>
      </w:r>
      <w:r>
        <w:rPr>
          <w:rFonts w:hint="eastAsia" w:eastAsia="仿宋_GB2312"/>
          <w:color w:val="000000"/>
          <w:sz w:val="32"/>
          <w:szCs w:val="32"/>
        </w:rPr>
        <w:t>2月28日前</w:t>
      </w:r>
      <w:r>
        <w:rPr>
          <w:rFonts w:eastAsia="仿宋_GB2312"/>
          <w:color w:val="000000"/>
          <w:sz w:val="32"/>
          <w:szCs w:val="32"/>
        </w:rPr>
        <w:t>到医保经办机构办理审核手续，并提交以下资料。医保经办机构接到参保患者报销资料后，15个工作日内审核完毕，并将统筹基金支付金额转入参保患者银行账号内。</w:t>
      </w:r>
    </w:p>
    <w:p>
      <w:pPr>
        <w:spacing w:line="580" w:lineRule="exact"/>
        <w:ind w:firstLine="640" w:firstLineChars="200"/>
        <w:rPr>
          <w:rFonts w:eastAsia="仿宋_GB2312"/>
          <w:sz w:val="32"/>
          <w:szCs w:val="32"/>
        </w:rPr>
      </w:pPr>
      <w:r>
        <w:rPr>
          <w:rFonts w:eastAsia="仿宋_GB2312"/>
          <w:sz w:val="32"/>
          <w:szCs w:val="32"/>
        </w:rPr>
        <w:t>提供资料如下：</w:t>
      </w:r>
    </w:p>
    <w:p>
      <w:pPr>
        <w:spacing w:line="580" w:lineRule="exact"/>
        <w:ind w:firstLine="640" w:firstLineChars="200"/>
        <w:rPr>
          <w:rFonts w:eastAsia="仿宋_GB2312"/>
          <w:sz w:val="32"/>
          <w:szCs w:val="32"/>
        </w:rPr>
      </w:pPr>
      <w:r>
        <w:rPr>
          <w:rFonts w:eastAsia="仿宋_GB2312"/>
          <w:sz w:val="32"/>
          <w:szCs w:val="32"/>
        </w:rPr>
        <w:t>（1）本人身份证复印件1份、本人银行账户复印件1份，并载明银行开户行网点名称；委托他人办理须提供参保患者和代办人的身份证原件及复印件。</w:t>
      </w:r>
    </w:p>
    <w:p>
      <w:pPr>
        <w:spacing w:line="580" w:lineRule="exact"/>
        <w:ind w:firstLine="640" w:firstLineChars="200"/>
        <w:rPr>
          <w:rFonts w:eastAsia="仿宋_GB2312"/>
          <w:sz w:val="32"/>
          <w:szCs w:val="32"/>
        </w:rPr>
      </w:pPr>
      <w:r>
        <w:rPr>
          <w:rFonts w:eastAsia="仿宋_GB2312"/>
          <w:sz w:val="32"/>
          <w:szCs w:val="32"/>
        </w:rPr>
        <w:t>（2）盖有就诊医院印章的财政（或税务部门）制作或监制的收费专用票据原件、出院证明、费用汇总清单；</w:t>
      </w:r>
    </w:p>
    <w:p>
      <w:pPr>
        <w:spacing w:line="580" w:lineRule="exact"/>
        <w:ind w:firstLine="640" w:firstLineChars="200"/>
        <w:rPr>
          <w:rFonts w:eastAsia="仿宋_GB2312"/>
          <w:sz w:val="32"/>
          <w:szCs w:val="32"/>
        </w:rPr>
      </w:pPr>
      <w:r>
        <w:rPr>
          <w:rFonts w:eastAsia="仿宋_GB2312"/>
          <w:sz w:val="32"/>
          <w:szCs w:val="32"/>
        </w:rPr>
        <w:t>（3）已参加补充医疗保险的还需复印发票、出院证明、身份证、本人银行账号一套；</w:t>
      </w:r>
    </w:p>
    <w:p>
      <w:pPr>
        <w:spacing w:line="58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）外伤住院费用须填写外伤调查表和复印住院病例全套并加盖就诊医院病例复印专用章。</w:t>
      </w:r>
    </w:p>
    <w:p>
      <w:pPr>
        <w:spacing w:line="580" w:lineRule="exact"/>
        <w:ind w:firstLine="640" w:firstLineChars="200"/>
        <w:rPr>
          <w:rFonts w:eastAsia="仿宋_GB2312"/>
          <w:sz w:val="32"/>
          <w:szCs w:val="32"/>
        </w:rPr>
      </w:pPr>
      <w:r>
        <w:rPr>
          <w:rFonts w:eastAsia="仿宋_GB2312"/>
          <w:sz w:val="32"/>
          <w:szCs w:val="32"/>
        </w:rPr>
        <w:t>（三）参保患者持社会保障卡在定点医疗机构就医及定点零售药店购药，其费用由社会保障卡刷卡支付，社会保障卡余额不足的，由参保患者自行支付。</w:t>
      </w:r>
    </w:p>
    <w:p>
      <w:pPr>
        <w:spacing w:line="580" w:lineRule="exact"/>
        <w:ind w:firstLine="640" w:firstLineChars="200"/>
        <w:rPr>
          <w:rFonts w:eastAsia="仿宋_GB2312"/>
          <w:sz w:val="32"/>
          <w:szCs w:val="32"/>
        </w:rPr>
      </w:pPr>
      <w:r>
        <w:rPr>
          <w:rFonts w:eastAsia="仿宋_GB2312"/>
          <w:sz w:val="32"/>
          <w:szCs w:val="32"/>
        </w:rPr>
        <w:t>（四）门诊特殊疾病需要凭社会保障卡到定点医院、零售药店按规定刷卡支付，参保患者只支付应由个人支付的费用，属统筹基金支付的费用，由定点服务机构与医保经办机构结算。</w:t>
      </w:r>
    </w:p>
    <w:p>
      <w:pPr>
        <w:spacing w:line="580" w:lineRule="exact"/>
        <w:ind w:firstLine="640" w:firstLineChars="200"/>
        <w:rPr>
          <w:rFonts w:eastAsia="仿宋_GB2312"/>
          <w:sz w:val="32"/>
          <w:szCs w:val="32"/>
        </w:rPr>
      </w:pPr>
      <w:r>
        <w:rPr>
          <w:rFonts w:eastAsia="仿宋_GB2312"/>
          <w:sz w:val="32"/>
          <w:szCs w:val="32"/>
        </w:rPr>
        <w:t>（五）实行各种险种一单制直接结算，参保患者住院只需先缴纳一定数额押金，出院结账在医院直接结算，个人只支付应由个人支付的费用，属统筹基金支付的费用，由定点医疗机构与医保经办机构结算。</w:t>
      </w:r>
    </w:p>
    <w:p>
      <w:pPr>
        <w:spacing w:line="580" w:lineRule="exact"/>
        <w:ind w:firstLine="640" w:firstLineChars="200"/>
        <w:rPr>
          <w:rFonts w:eastAsia="仿宋_GB2312"/>
          <w:sz w:val="32"/>
          <w:szCs w:val="32"/>
        </w:rPr>
      </w:pPr>
      <w:r>
        <w:rPr>
          <w:rFonts w:eastAsia="仿宋_GB2312"/>
          <w:sz w:val="32"/>
          <w:szCs w:val="32"/>
        </w:rPr>
        <w:t>（六）职工基本医疗保险定点服务机构实行属地管理原则结算，由市、县（区）医保经办机构按相关规定予以结算。</w:t>
      </w:r>
    </w:p>
    <w:p>
      <w:pPr>
        <w:spacing w:line="580" w:lineRule="exact"/>
        <w:ind w:firstLine="640" w:firstLineChars="200"/>
        <w:rPr>
          <w:rFonts w:eastAsia="仿宋_GB2312"/>
          <w:sz w:val="32"/>
          <w:szCs w:val="32"/>
        </w:rPr>
      </w:pPr>
      <w:r>
        <w:rPr>
          <w:rFonts w:eastAsia="仿宋_GB2312"/>
          <w:sz w:val="32"/>
          <w:szCs w:val="32"/>
        </w:rPr>
        <w:t>1.各县（区）负责其辖区内所有定点医疗机构、定点零售药店的结算，市本级与东坡区对眉山中心城区实行分片负责制。市本级医院由市本级负责结算，其余定点医疗机构、定点零售药店由东坡区负责结算。</w:t>
      </w:r>
    </w:p>
    <w:p>
      <w:pPr>
        <w:spacing w:line="580" w:lineRule="exact"/>
        <w:ind w:firstLine="640" w:firstLineChars="200"/>
        <w:rPr>
          <w:rFonts w:eastAsia="仿宋_GB2312"/>
          <w:sz w:val="32"/>
          <w:szCs w:val="32"/>
        </w:rPr>
      </w:pPr>
      <w:r>
        <w:rPr>
          <w:rFonts w:eastAsia="仿宋_GB2312"/>
          <w:sz w:val="32"/>
          <w:szCs w:val="32"/>
        </w:rPr>
        <w:t>2.定点医疗机构于每月10</w:t>
      </w:r>
      <w:r>
        <w:rPr>
          <w:rFonts w:hint="eastAsia" w:eastAsia="仿宋_GB2312"/>
          <w:sz w:val="32"/>
          <w:szCs w:val="32"/>
        </w:rPr>
        <w:t>日</w:t>
      </w:r>
      <w:r>
        <w:rPr>
          <w:rFonts w:eastAsia="仿宋_GB2312"/>
          <w:sz w:val="32"/>
          <w:szCs w:val="32"/>
        </w:rPr>
        <w:t>前从与医保经办机构联网的医保客户端读取上月发生的费用，打印《眉山市职工医疗保险费用申报拨付明细表》、《眉山市职工医疗保险费用申报拨付审批表》各一份，同时提供眉山市职工医疗保险支付申报结算表（须由参保患者或家属签字）、参保患者身份证复印件、医院电脑打印的财政（或税务部门）制作或监制的住院收费专用票据原件（加盖医院章）、出院证明（加盖医院章）交医保经办机构审核；外伤需附外伤调查表和入院记录。</w:t>
      </w:r>
    </w:p>
    <w:p>
      <w:pPr>
        <w:spacing w:line="580" w:lineRule="exact"/>
        <w:ind w:firstLine="640" w:firstLineChars="200"/>
        <w:rPr>
          <w:rFonts w:eastAsia="仿宋_GB2312"/>
          <w:sz w:val="32"/>
          <w:szCs w:val="32"/>
        </w:rPr>
      </w:pPr>
      <w:r>
        <w:rPr>
          <w:rFonts w:eastAsia="仿宋_GB2312"/>
          <w:sz w:val="32"/>
          <w:szCs w:val="32"/>
        </w:rPr>
        <w:t>3.定点零售药店每月或每季度初10</w:t>
      </w:r>
      <w:r>
        <w:rPr>
          <w:rFonts w:hint="eastAsia" w:eastAsia="仿宋_GB2312"/>
          <w:sz w:val="32"/>
          <w:szCs w:val="32"/>
        </w:rPr>
        <w:t>日</w:t>
      </w:r>
      <w:r>
        <w:rPr>
          <w:rFonts w:eastAsia="仿宋_GB2312"/>
          <w:sz w:val="32"/>
          <w:szCs w:val="32"/>
        </w:rPr>
        <w:t>前从与医保经办机构联网的医保客户端读取上月或上季度所发生费用，打印《眉山市职工基本医疗门诊结算汇总表》一份，交医保经办机构待遇审核部门审核。</w:t>
      </w:r>
    </w:p>
    <w:p>
      <w:pPr>
        <w:spacing w:line="580" w:lineRule="exact"/>
        <w:ind w:firstLine="643" w:firstLineChars="200"/>
        <w:rPr>
          <w:rFonts w:eastAsia="楷体_GB2312"/>
          <w:b/>
          <w:color w:val="000000"/>
          <w:sz w:val="32"/>
          <w:szCs w:val="32"/>
        </w:rPr>
      </w:pPr>
      <w:r>
        <w:rPr>
          <w:rFonts w:eastAsia="楷体_GB2312"/>
          <w:b/>
          <w:color w:val="000000"/>
          <w:sz w:val="32"/>
          <w:szCs w:val="32"/>
        </w:rPr>
        <w:t>三、生育保险待遇支付管理</w:t>
      </w:r>
    </w:p>
    <w:p>
      <w:pPr>
        <w:spacing w:line="580" w:lineRule="exact"/>
        <w:ind w:firstLine="643" w:firstLineChars="200"/>
        <w:rPr>
          <w:rFonts w:eastAsia="仿宋_GB2312"/>
          <w:b/>
          <w:color w:val="000000"/>
          <w:sz w:val="32"/>
          <w:szCs w:val="32"/>
        </w:rPr>
      </w:pPr>
      <w:r>
        <w:rPr>
          <w:rFonts w:eastAsia="仿宋_GB2312"/>
          <w:b/>
          <w:color w:val="000000"/>
          <w:sz w:val="32"/>
          <w:szCs w:val="32"/>
        </w:rPr>
        <w:t>（一）待遇申报</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1.申报期限</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生育保险在我市连续缴费满12个月及以上的参保人员，享受生育保险待遇应当在产后或术后3个月内向</w:t>
      </w:r>
      <w:r>
        <w:rPr>
          <w:rFonts w:hint="eastAsia" w:eastAsia="仿宋_GB2312"/>
          <w:color w:val="000000"/>
          <w:sz w:val="32"/>
          <w:szCs w:val="32"/>
        </w:rPr>
        <w:t>医保</w:t>
      </w:r>
      <w:r>
        <w:rPr>
          <w:rFonts w:eastAsia="仿宋_GB2312"/>
          <w:color w:val="000000"/>
          <w:sz w:val="32"/>
          <w:szCs w:val="32"/>
        </w:rPr>
        <w:t>经办机构申报生育保险待遇；</w:t>
      </w:r>
      <w:r>
        <w:rPr>
          <w:rFonts w:eastAsia="仿宋_GB2312"/>
          <w:color w:val="000000" w:themeColor="text1"/>
          <w:sz w:val="32"/>
          <w:szCs w:val="32"/>
        </w:rPr>
        <w:t>因工作调动转移至我市、新入职参保、公务员（参公人员）新纳入生育保险参保范围等特殊原因未连续缴满12 个月的参保人员，</w:t>
      </w:r>
      <w:r>
        <w:rPr>
          <w:rFonts w:eastAsia="仿宋_GB2312"/>
          <w:color w:val="000000"/>
          <w:sz w:val="32"/>
          <w:szCs w:val="32"/>
        </w:rPr>
        <w:t>应在我市连续缴满12个月后的3个月内向</w:t>
      </w:r>
      <w:r>
        <w:rPr>
          <w:rFonts w:hint="eastAsia" w:eastAsia="仿宋_GB2312"/>
          <w:color w:val="000000"/>
          <w:sz w:val="32"/>
          <w:szCs w:val="32"/>
        </w:rPr>
        <w:t>医保</w:t>
      </w:r>
      <w:r>
        <w:rPr>
          <w:rFonts w:eastAsia="仿宋_GB2312"/>
          <w:color w:val="000000"/>
          <w:sz w:val="32"/>
          <w:szCs w:val="32"/>
        </w:rPr>
        <w:t>经办机构申请生育保险待遇，逾期未申报的，作为自动放弃。</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2.申报材料</w:t>
      </w:r>
    </w:p>
    <w:p>
      <w:pPr>
        <w:autoSpaceDE w:val="0"/>
        <w:autoSpaceDN w:val="0"/>
        <w:adjustRightInd w:val="0"/>
        <w:spacing w:line="580" w:lineRule="exact"/>
        <w:ind w:firstLine="480" w:firstLineChars="150"/>
        <w:rPr>
          <w:rFonts w:eastAsia="仿宋_GB2312"/>
          <w:color w:val="000000"/>
          <w:sz w:val="32"/>
          <w:szCs w:val="32"/>
        </w:rPr>
      </w:pPr>
      <w:r>
        <w:rPr>
          <w:rFonts w:eastAsia="仿宋_GB2312"/>
          <w:color w:val="000000"/>
          <w:sz w:val="32"/>
          <w:szCs w:val="32"/>
        </w:rPr>
        <w:t>（1）《眉山市职工生育保险待遇申请表》经相关人员填写后加盖参保人员所在单位行政公章；</w:t>
      </w:r>
    </w:p>
    <w:p>
      <w:pPr>
        <w:autoSpaceDE w:val="0"/>
        <w:autoSpaceDN w:val="0"/>
        <w:adjustRightInd w:val="0"/>
        <w:spacing w:line="580" w:lineRule="exact"/>
        <w:ind w:firstLine="480" w:firstLineChars="150"/>
        <w:rPr>
          <w:rFonts w:eastAsia="仿宋_GB2312"/>
          <w:color w:val="000000"/>
          <w:sz w:val="32"/>
          <w:szCs w:val="32"/>
        </w:rPr>
      </w:pPr>
      <w:r>
        <w:rPr>
          <w:rFonts w:eastAsia="仿宋_GB2312"/>
          <w:color w:val="000000"/>
          <w:sz w:val="32"/>
          <w:szCs w:val="32"/>
        </w:rPr>
        <w:t>（2）身份证和结婚证复印件；</w:t>
      </w:r>
    </w:p>
    <w:p>
      <w:pPr>
        <w:autoSpaceDE w:val="0"/>
        <w:autoSpaceDN w:val="0"/>
        <w:adjustRightInd w:val="0"/>
        <w:spacing w:line="580" w:lineRule="exact"/>
        <w:ind w:firstLine="480" w:firstLineChars="150"/>
        <w:rPr>
          <w:rFonts w:eastAsia="仿宋_GB2312"/>
          <w:color w:val="000000"/>
          <w:sz w:val="32"/>
          <w:szCs w:val="32"/>
        </w:rPr>
      </w:pPr>
      <w:r>
        <w:rPr>
          <w:rFonts w:eastAsia="仿宋_GB2312"/>
          <w:color w:val="000000"/>
          <w:sz w:val="32"/>
          <w:szCs w:val="32"/>
        </w:rPr>
        <w:t>（3）计划生育管理部门出具的生育服务证明；</w:t>
      </w:r>
    </w:p>
    <w:p>
      <w:pPr>
        <w:autoSpaceDE w:val="0"/>
        <w:autoSpaceDN w:val="0"/>
        <w:adjustRightInd w:val="0"/>
        <w:spacing w:line="580" w:lineRule="exact"/>
        <w:ind w:firstLine="480" w:firstLineChars="150"/>
        <w:rPr>
          <w:rFonts w:eastAsia="仿宋_GB2312"/>
          <w:color w:val="000000"/>
          <w:sz w:val="32"/>
          <w:szCs w:val="32"/>
        </w:rPr>
      </w:pPr>
      <w:r>
        <w:rPr>
          <w:rFonts w:eastAsia="仿宋_GB2312"/>
          <w:color w:val="000000"/>
          <w:sz w:val="32"/>
          <w:szCs w:val="32"/>
        </w:rPr>
        <w:t>（4）</w:t>
      </w:r>
      <w:r>
        <w:rPr>
          <w:rFonts w:eastAsia="仿宋_GB2312"/>
          <w:sz w:val="32"/>
          <w:szCs w:val="32"/>
        </w:rPr>
        <w:t>盖有就诊医院印章的财政（或税务部门）制作或监制的收费专用票据原件、</w:t>
      </w:r>
      <w:r>
        <w:rPr>
          <w:rFonts w:eastAsia="仿宋_GB2312"/>
          <w:color w:val="000000"/>
          <w:sz w:val="32"/>
          <w:szCs w:val="32"/>
        </w:rPr>
        <w:t>出院证明（门诊则提供“门诊病情诊断书”）、剖宫产手术记录（顺产无需提供）、费用明细等相关材料。</w:t>
      </w:r>
    </w:p>
    <w:p>
      <w:pPr>
        <w:spacing w:line="580" w:lineRule="exact"/>
        <w:ind w:firstLine="643" w:firstLineChars="200"/>
        <w:rPr>
          <w:rFonts w:eastAsia="仿宋_GB2312"/>
          <w:b/>
          <w:color w:val="000000"/>
          <w:sz w:val="32"/>
          <w:szCs w:val="32"/>
        </w:rPr>
      </w:pPr>
      <w:r>
        <w:rPr>
          <w:rFonts w:eastAsia="仿宋_GB2312"/>
          <w:b/>
          <w:color w:val="000000"/>
          <w:sz w:val="32"/>
          <w:szCs w:val="32"/>
        </w:rPr>
        <w:t>（二）申报受理</w:t>
      </w:r>
    </w:p>
    <w:p>
      <w:pPr>
        <w:autoSpaceDE w:val="0"/>
        <w:autoSpaceDN w:val="0"/>
        <w:adjustRightInd w:val="0"/>
        <w:spacing w:line="580" w:lineRule="exact"/>
        <w:ind w:firstLine="640" w:firstLineChars="200"/>
        <w:rPr>
          <w:rFonts w:eastAsia="仿宋_GB2312"/>
          <w:color w:val="000000"/>
          <w:sz w:val="32"/>
          <w:szCs w:val="32"/>
        </w:rPr>
      </w:pPr>
      <w:r>
        <w:rPr>
          <w:rFonts w:eastAsia="仿宋_GB2312"/>
          <w:color w:val="000000"/>
          <w:sz w:val="32"/>
          <w:szCs w:val="32"/>
        </w:rPr>
        <w:t>参保地医保经办机构在收到申报材料后应及时核查相关资料是否完整准确，并根据《眉山市职工医疗保险与生育保险管理办法》（眉府办发〔2020〕3号）的相关规定，使用医疗生育信息系统完成对相关费用的审核、审批，生成《眉山市职工生育待遇审批表》（一式两份），医保经办人员核对后将待遇汇总表交至医保经办机构财务部门。</w:t>
      </w:r>
    </w:p>
    <w:p>
      <w:pPr>
        <w:spacing w:line="580" w:lineRule="exact"/>
        <w:ind w:firstLine="643" w:firstLineChars="200"/>
        <w:rPr>
          <w:rFonts w:eastAsia="仿宋_GB2312"/>
          <w:b/>
          <w:color w:val="000000"/>
          <w:sz w:val="32"/>
          <w:szCs w:val="32"/>
        </w:rPr>
      </w:pPr>
      <w:r>
        <w:rPr>
          <w:rFonts w:eastAsia="仿宋_GB2312"/>
          <w:b/>
          <w:color w:val="000000"/>
          <w:sz w:val="32"/>
          <w:szCs w:val="32"/>
        </w:rPr>
        <w:t>（三）待遇支付</w:t>
      </w:r>
    </w:p>
    <w:p>
      <w:pPr>
        <w:autoSpaceDE w:val="0"/>
        <w:autoSpaceDN w:val="0"/>
        <w:adjustRightInd w:val="0"/>
        <w:spacing w:line="580" w:lineRule="exact"/>
        <w:ind w:firstLine="800" w:firstLineChars="250"/>
        <w:rPr>
          <w:rFonts w:eastAsia="仿宋_GB2312"/>
          <w:color w:val="000000"/>
          <w:sz w:val="32"/>
          <w:szCs w:val="32"/>
          <w:u w:val="single"/>
        </w:rPr>
      </w:pPr>
      <w:r>
        <w:rPr>
          <w:rFonts w:eastAsia="仿宋_GB2312"/>
          <w:color w:val="000000"/>
          <w:sz w:val="32"/>
          <w:szCs w:val="32"/>
        </w:rPr>
        <w:t>医保经办机构财务部门根据待遇汇总表注明的金额和账户信息，转账支付给参保单位，参保单位在到帐后应及时到医保经办机构领取签字盖章后的《眉山市职工生育待遇审批表》一份，根据审批表中的待遇明细按规定向参保职工办理清算。</w:t>
      </w:r>
    </w:p>
    <w:p>
      <w:pPr>
        <w:autoSpaceDE w:val="0"/>
        <w:autoSpaceDN w:val="0"/>
        <w:adjustRightInd w:val="0"/>
        <w:spacing w:line="580" w:lineRule="exact"/>
        <w:ind w:firstLine="643" w:firstLineChars="200"/>
        <w:rPr>
          <w:rFonts w:eastAsia="仿宋_GB2312"/>
          <w:b/>
          <w:color w:val="000000" w:themeColor="text1"/>
          <w:sz w:val="32"/>
          <w:szCs w:val="32"/>
        </w:rPr>
      </w:pPr>
      <w:r>
        <w:rPr>
          <w:rFonts w:eastAsia="仿宋_GB2312"/>
          <w:b/>
          <w:color w:val="000000" w:themeColor="text1"/>
          <w:sz w:val="32"/>
          <w:szCs w:val="32"/>
        </w:rPr>
        <w:t>（四）灵活就业人员相关待遇</w:t>
      </w:r>
    </w:p>
    <w:p>
      <w:pPr>
        <w:autoSpaceDE w:val="0"/>
        <w:autoSpaceDN w:val="0"/>
        <w:adjustRightInd w:val="0"/>
        <w:spacing w:line="580" w:lineRule="exact"/>
        <w:ind w:firstLine="640" w:firstLineChars="200"/>
        <w:rPr>
          <w:rFonts w:eastAsia="仿宋_GB2312"/>
          <w:color w:val="000000" w:themeColor="text1"/>
          <w:sz w:val="32"/>
          <w:szCs w:val="32"/>
        </w:rPr>
      </w:pPr>
      <w:r>
        <w:rPr>
          <w:rFonts w:eastAsia="仿宋_GB2312"/>
          <w:color w:val="000000" w:themeColor="text1"/>
          <w:sz w:val="32"/>
          <w:szCs w:val="32"/>
        </w:rPr>
        <w:t>职工医保灵活就业人员的生育医疗费用，异位妊娠、生育及计划生育手术相关并发症的住院医疗费用按照职工基本医疗保险相关政策执行。</w:t>
      </w:r>
    </w:p>
    <w:p>
      <w:pPr>
        <w:spacing w:line="580" w:lineRule="exact"/>
        <w:rPr>
          <w:rFonts w:eastAsia="黑体"/>
          <w:sz w:val="32"/>
          <w:szCs w:val="32"/>
        </w:rPr>
      </w:pPr>
    </w:p>
    <w:p>
      <w:pPr>
        <w:spacing w:line="580" w:lineRule="exact"/>
        <w:ind w:firstLine="2560" w:firstLineChars="800"/>
        <w:rPr>
          <w:rFonts w:eastAsia="仿宋_GB2312"/>
        </w:rPr>
      </w:pPr>
      <w:r>
        <w:rPr>
          <w:rFonts w:eastAsia="黑体"/>
          <w:sz w:val="32"/>
          <w:szCs w:val="32"/>
        </w:rPr>
        <w:t>第三章  定点医药机构管理</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一、定点医疗机构是指与医保经办机构签订服务协议，为基本医疗保险参保人提供医疗服务的医疗机构。定点零售药店是指与医保经办机构签订服务协议，为基本医疗保险参保人提供处方外配和非处方药等零售服务的药店。</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二、医保经办机构通过与定点医疗机构、零售药店签订服务协议，实行协议动态管理。服务协议应明确双方的权利、义务和责任，主要内容应包括：服务内容、就医管理、药品和诊疗项目管理、费用结算、信息管理、违约责任、协议的解除或终止条件等。服务协议有效期一般为1年。</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《眉山市医疗保障定点医疗机构服务协议》和《眉山市医疗保障定点零售药店服务协议》由市医疗保障局统一制定，每年公布一次。</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三、受理医疗机构、零售药店申请定点流程包括公布条件、受理申请、考察评估、协商谈判、结果公示、签署协议等主要环节。</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四、依法经主管部门批准取得执业资格的医疗机构可向当地医保经办机构书面提出签订服务协议申请，并提供以下材料：</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（一）《眉山市医疗保障定点医疗机构服务协议申请表》（附件1）一式两份。</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二）医疗机构概况和可承担医疗保障能力介绍的书面材料，提供科室设置、法定代表人（负责人）身份证、医务人员有关资格证件（身份证、学历证、医师执业证书、护士执业证书、执业药师资格证书等）、职工花名册及依法参加社会保险的证明材料。</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（三）《医疗机构执业许可证》、《营业执照》（《事业单位法人证书》、《民办非企业单位登记证书》）、单位银行账户信息等材料及复印件。</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（四）与医保政策对应的内部管理制度和财务制度、医院等级评审文件及相关证明材料。</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（五）上年度业务收支情况和门诊、住院诊疗服务量（包括：门诊人次、均次医疗费、住院人次、平均住院日、均次住院费用、均次床日费用）。（新开办医疗机构申请时可不提供）</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（六）与医保有关的信息系统相关材料。</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（七）纳入定点后对医保基金影响的预测性分析报告。</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五、依法经主管部门批准取得经营资格的零售药店，可向当地医保经办机构书面提出签订服务协议申请，并提供以下材料：</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（一）《眉山市医疗保障定点零售药店服务协议申请表》（附件2）一式两份。</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（二）《药品经营许可证》、《营业执照》、《药品经营质量管理规范》(GSP)认证证书及复印件。</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（三）法定代表人或主要负责人的身份证及复印件，职工花名册及依法参加社会保险的证明材料。</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（四）药品监管、价格主管部门监督检查合格的证明材料（新开办零售药店申请时可不提供）。</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（五）药师以上药学技术人员的职称、执业证件及复印件，从业人员资格证书及复印件。</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（六）劳动合同复印件。</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（七）与医保有关的信息系统相关材料。</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（八）纳入定点后对医保基金影响的预测性分析报告。</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连锁经营的零售药店，由各零售药店独立申请签订服务协议。</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六、正式运营3个月以上的医疗机构、零售药店，可随时提出定点申请，医保经办机构应即时受理。对申请材料不足的，医保经办机构自收到材料之日起5个工作日内一次性告知医疗机构、零售药店补充。</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七、医保经办机构应对医疗机构、零售药店所申报的材料和信息进行现场考察核实，对医疗机构、零售药店的内部管理、信息化建设、医疗服务能力等情况是否符合医疗保障管理要求进行检查，并组织相关单位或专家开展评估，评估的内容主要为医疗机构、零售药店申报医保服务内容与医疗机构、零售药店服务能力是否匹配(附件3、附件4)。评估结果分为合格和不合格。评估结果仅供医保经办机构当次签订协议使用。对于评估不合格的应告知其理由，并限期整改，自结果告知日起，整改3个月后可再次提交申请。</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八、医保经办机构与评估合格的医疗机构、零售药店协商谈判，达成一致的，双方自愿签订服务协议。</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九、协议期满，医保经办机构年终应对定点医疗机构和定点零售药店履行服务协议情况进行综合考核评估，与考核合格的定点医疗机构、零售药店就续签事宜进行协商，并对协议内容进行必要的谈判。双方协商一致后可续签协议。每年5月底前完成续签工作。</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医保经办机构应向社会公示签订服务协议的医疗机构名单。公示结束，医保经办机构应将《眉山市医疗保障定点医疗机构备案表》（附件5）和《眉山市医疗保障定点零售药店备案表》（附件6）报市医疗保障局备案，与定点医药机构签订的服务协议应报同级医疗保障行政部门备案。市医疗保障局应在收到县（区）医保经办机构定点医疗机构、零售药店备案表后及时开通医保信息系统。</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十一、医保经办机构应向社会公布签订服务协议的定点医药机构信息。</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十二、因医疗机构、零售药店原因，未能在约定日期内签订定点服务协议的，视作自动放弃，医保经办机构1年内不再受理其申请。</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十三、定点医疗机构、定点零售药店应在本单位显著位置悬挂“眉山市医疗保障定点医疗机构”或“眉山市医疗保障定点零售药店”标牌，标牌须妥善保留，不得转让或损坏。</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四、医保经办机构应对定点医疗机构、定点零售药店的信息进行管理，定期开展定点医疗机构、定点零售药店基本信息的审核。如定点医疗机构、定点零售药店发生地址、法定代表人、级别、合并重组等重要信息变更的，应依据相关规定和协议条款进行管理，必要时应先暂停协议并组织重新评估，根据评估结果决定是否继续履行协议。</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五、医保经办机构应督促定点医疗机构、定点零售药店共同遵守协议条款，加强自身内部管理，为参保人员提供优质的医疗保障服务；并根据协议约定，加强对定点医疗机构、定点零售药店的宣传、教育、培训，随时接受咨询。</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十六、医保经办机构可通过举报投诉、日常检查、监控分析等多种渠道获取检查线索来源，采取电话询问、实地检查、网络监控和专项检查等方式，对定点医疗机构、定点零售药店的协议履行情况进行检查。</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十七、医保经办机构可根据定点医疗机构、零售药店违约情况，按照服务协议约定条款进行处理，处理情况按月汇总上报，重大违规案件应立即上报市、县（区）医疗保障局。</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十八、定点医药机构自愿中止协议、终止协议或不再续签协议的，应提前1个月向医保经办机构书面提出申请。</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十九、对因被吊销《医疗机构执业许可证》、《药品经营许可证》、《营业执照》，或因违反相关法律法规被有关部门处罚，应终止/解除服务协议的定点医疗机构、定点零售药店，或因严重违规被医保经办机构暂停或终止协议的定点医疗机构、定点零售药店，医保经办机构应书面通知对方，并及时函告市医疗保障局停止其信息系统联网结算。暂停期满，医保经办机构应对其整改情况进行检查，验收通过后可恢复协议。</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二十、医保经办机构应向社会公布定点医药机构被暂停或终止服务协议的相关信息，并与定点医疗机构、定点零售药店共同做好善后工作，保障参保人员的医疗待遇，妥善处理在院病人。对于终止协议的医疗机构、零售药店，医保经办机构监督其收回定点标牌。</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二十一、被终止/解除协议未满3年，或已满3年但受医保部门经济处罚未缴清的，以及原定点医药机构因法定代表人、主要负责人和实际控制人严重违法违规导致终止协议，未满5年又成立新医药机构的，其定点申请不予受理。</w:t>
      </w:r>
    </w:p>
    <w:p>
      <w:pPr>
        <w:spacing w:line="58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二十二、对违反法律法规的，在追究违约责任的同时，应提请医疗保障行政部门按规定做出行政处理，或移送卫生健康、市场监管、公安等相关部门处理。</w:t>
      </w:r>
    </w:p>
    <w:p>
      <w:pPr>
        <w:spacing w:line="580" w:lineRule="exact"/>
        <w:ind w:firstLine="640" w:firstLineChars="200"/>
        <w:rPr>
          <w:rFonts w:eastAsia="仿宋_GB2312"/>
          <w:sz w:val="32"/>
          <w:szCs w:val="44"/>
        </w:rPr>
      </w:pPr>
    </w:p>
    <w:p>
      <w:pPr>
        <w:spacing w:line="580" w:lineRule="exact"/>
        <w:ind w:firstLine="3200" w:firstLineChars="1000"/>
        <w:rPr>
          <w:rFonts w:eastAsia="黑体"/>
          <w:sz w:val="32"/>
          <w:szCs w:val="32"/>
        </w:rPr>
      </w:pPr>
      <w:r>
        <w:rPr>
          <w:rFonts w:eastAsia="黑体"/>
          <w:sz w:val="32"/>
          <w:szCs w:val="32"/>
        </w:rPr>
        <w:t>第四章  其他事项</w:t>
      </w:r>
    </w:p>
    <w:p>
      <w:pPr>
        <w:spacing w:line="580" w:lineRule="exact"/>
        <w:ind w:firstLine="640" w:firstLineChars="200"/>
        <w:rPr>
          <w:rFonts w:eastAsia="仿宋_GB2312"/>
          <w:kern w:val="0"/>
          <w:sz w:val="32"/>
          <w:szCs w:val="32"/>
        </w:rPr>
      </w:pPr>
      <w:r>
        <w:rPr>
          <w:rFonts w:eastAsia="仿宋_GB2312"/>
          <w:kern w:val="0"/>
          <w:sz w:val="32"/>
          <w:szCs w:val="32"/>
        </w:rPr>
        <w:t>本规程由眉山市医疗保障局、国家税务总局眉山市税务局按照各自职责负责解释。本规程自印发之日起施行，有效期3年。《眉山市职工基本医疗保险业务经办规程》（眉人社办发〔2014〕53号）同时废止。</w:t>
      </w:r>
    </w:p>
    <w:p>
      <w:pPr>
        <w:spacing w:line="580" w:lineRule="exact"/>
        <w:ind w:firstLine="640" w:firstLineChars="200"/>
        <w:jc w:val="left"/>
        <w:rPr>
          <w:rFonts w:eastAsia="仿宋_GB2312"/>
          <w:bCs/>
          <w:sz w:val="32"/>
          <w:szCs w:val="44"/>
        </w:rPr>
      </w:pPr>
    </w:p>
    <w:p>
      <w:pPr>
        <w:spacing w:line="580" w:lineRule="exact"/>
        <w:ind w:firstLine="640" w:firstLineChars="200"/>
        <w:rPr>
          <w:rFonts w:eastAsia="仿宋_GB2312"/>
          <w:sz w:val="32"/>
          <w:szCs w:val="44"/>
        </w:rPr>
      </w:pPr>
      <w:r>
        <w:rPr>
          <w:rFonts w:eastAsia="仿宋_GB2312"/>
          <w:sz w:val="32"/>
          <w:szCs w:val="44"/>
        </w:rPr>
        <w:t>附件：1.眉山市医疗保障定点医疗机构服务协议申请表</w:t>
      </w:r>
    </w:p>
    <w:p>
      <w:pPr>
        <w:spacing w:line="580" w:lineRule="exact"/>
        <w:ind w:firstLine="1699" w:firstLineChars="531"/>
        <w:rPr>
          <w:rFonts w:eastAsia="仿宋_GB2312"/>
          <w:sz w:val="32"/>
          <w:szCs w:val="44"/>
        </w:rPr>
      </w:pPr>
      <w:r>
        <w:rPr>
          <w:rFonts w:eastAsia="仿宋_GB2312"/>
          <w:sz w:val="32"/>
          <w:szCs w:val="44"/>
        </w:rPr>
        <w:t>2.眉山市医疗保障定点零售药店服务协议申请表</w:t>
      </w:r>
    </w:p>
    <w:p>
      <w:pPr>
        <w:spacing w:line="580" w:lineRule="exact"/>
        <w:ind w:firstLine="1699" w:firstLineChars="531"/>
        <w:rPr>
          <w:rFonts w:eastAsia="仿宋_GB2312"/>
          <w:sz w:val="32"/>
          <w:szCs w:val="44"/>
        </w:rPr>
      </w:pPr>
      <w:r>
        <w:rPr>
          <w:rFonts w:eastAsia="仿宋_GB2312"/>
          <w:sz w:val="32"/>
          <w:szCs w:val="44"/>
        </w:rPr>
        <w:t>3.眉山市医疗保障定点医疗机构检查评估表</w:t>
      </w:r>
    </w:p>
    <w:p>
      <w:pPr>
        <w:spacing w:line="580" w:lineRule="exact"/>
        <w:ind w:firstLine="1699" w:firstLineChars="531"/>
        <w:rPr>
          <w:rFonts w:eastAsia="仿宋_GB2312"/>
          <w:sz w:val="32"/>
          <w:szCs w:val="44"/>
        </w:rPr>
      </w:pPr>
      <w:r>
        <w:rPr>
          <w:rFonts w:eastAsia="仿宋_GB2312"/>
          <w:sz w:val="32"/>
          <w:szCs w:val="44"/>
        </w:rPr>
        <w:t>4.眉山市医疗保障定点零售药店检查评估表</w:t>
      </w:r>
    </w:p>
    <w:p>
      <w:pPr>
        <w:spacing w:line="580" w:lineRule="exact"/>
        <w:ind w:firstLine="1699" w:firstLineChars="531"/>
        <w:rPr>
          <w:rFonts w:eastAsia="仿宋_GB2312"/>
          <w:sz w:val="32"/>
          <w:szCs w:val="44"/>
        </w:rPr>
      </w:pPr>
      <w:r>
        <w:rPr>
          <w:rFonts w:eastAsia="仿宋_GB2312"/>
          <w:sz w:val="32"/>
          <w:szCs w:val="44"/>
        </w:rPr>
        <w:t>5.眉山市医疗保障定点医疗机构备案表</w:t>
      </w:r>
    </w:p>
    <w:p>
      <w:pPr>
        <w:spacing w:line="580" w:lineRule="exact"/>
        <w:ind w:firstLine="1699" w:firstLineChars="531"/>
        <w:rPr>
          <w:rFonts w:eastAsia="仿宋_GB2312"/>
          <w:sz w:val="32"/>
          <w:szCs w:val="44"/>
        </w:rPr>
      </w:pPr>
      <w:r>
        <w:rPr>
          <w:rFonts w:eastAsia="仿宋_GB2312"/>
          <w:sz w:val="32"/>
          <w:szCs w:val="44"/>
        </w:rPr>
        <w:t>6.眉山市医疗保障定点零售药店备案表</w:t>
      </w: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eastAsia="黑体"/>
          <w:sz w:val="32"/>
          <w:szCs w:val="32"/>
        </w:rPr>
      </w:pPr>
      <w:r>
        <w:rPr>
          <w:rFonts w:eastAsia="黑体"/>
          <w:sz w:val="32"/>
          <w:szCs w:val="32"/>
        </w:rPr>
        <w:t>附件1</w:t>
      </w:r>
    </w:p>
    <w:p>
      <w:pPr>
        <w:spacing w:line="1200" w:lineRule="exact"/>
        <w:jc w:val="center"/>
        <w:rPr>
          <w:rFonts w:eastAsia="方正小标宋简体"/>
          <w:bCs/>
          <w:spacing w:val="-16"/>
          <w:sz w:val="72"/>
          <w:szCs w:val="72"/>
        </w:rPr>
      </w:pPr>
      <w:r>
        <w:rPr>
          <w:rFonts w:eastAsia="方正小标宋简体"/>
          <w:bCs/>
          <w:spacing w:val="-16"/>
          <w:sz w:val="72"/>
          <w:szCs w:val="72"/>
        </w:rPr>
        <w:t>眉山市医疗保障</w:t>
      </w:r>
    </w:p>
    <w:p>
      <w:pPr>
        <w:spacing w:line="1200" w:lineRule="exact"/>
        <w:jc w:val="center"/>
        <w:rPr>
          <w:rFonts w:eastAsia="方正小标宋简体"/>
          <w:bCs/>
          <w:spacing w:val="-32"/>
          <w:sz w:val="72"/>
          <w:szCs w:val="72"/>
        </w:rPr>
      </w:pPr>
      <w:r>
        <w:rPr>
          <w:rFonts w:eastAsia="方正小标宋简体"/>
          <w:bCs/>
          <w:spacing w:val="-32"/>
          <w:sz w:val="72"/>
          <w:szCs w:val="72"/>
        </w:rPr>
        <w:t>定点医疗机构服务协议申请表</w:t>
      </w:r>
    </w:p>
    <w:p>
      <w:pPr>
        <w:rPr>
          <w:sz w:val="28"/>
          <w:szCs w:val="28"/>
        </w:rPr>
      </w:pPr>
    </w:p>
    <w:p>
      <w:pPr>
        <w:rPr>
          <w:sz w:val="28"/>
          <w:szCs w:val="28"/>
        </w:rPr>
      </w:pPr>
    </w:p>
    <w:p>
      <w:pPr>
        <w:rPr>
          <w:sz w:val="28"/>
          <w:szCs w:val="28"/>
        </w:rPr>
      </w:pPr>
    </w:p>
    <w:p>
      <w:pPr>
        <w:rPr>
          <w:sz w:val="28"/>
          <w:szCs w:val="28"/>
        </w:rPr>
      </w:pPr>
    </w:p>
    <w:p>
      <w:pPr>
        <w:spacing w:line="360" w:lineRule="auto"/>
        <w:ind w:firstLine="2240" w:firstLineChars="700"/>
        <w:rPr>
          <w:rFonts w:eastAsiaTheme="minorEastAsia"/>
          <w:sz w:val="32"/>
          <w:szCs w:val="32"/>
          <w:u w:val="single"/>
        </w:rPr>
      </w:pPr>
      <w:r>
        <w:rPr>
          <w:rFonts w:eastAsiaTheme="minorEastAsia"/>
          <w:sz w:val="32"/>
          <w:szCs w:val="32"/>
        </w:rPr>
        <w:t>申请单位</w:t>
      </w:r>
    </w:p>
    <w:p>
      <w:pPr>
        <w:spacing w:line="360" w:lineRule="auto"/>
        <w:ind w:firstLine="2240" w:firstLineChars="700"/>
        <w:rPr>
          <w:rFonts w:eastAsiaTheme="minorEastAsia"/>
          <w:sz w:val="32"/>
          <w:szCs w:val="32"/>
        </w:rPr>
      </w:pPr>
    </w:p>
    <w:p>
      <w:pPr>
        <w:spacing w:line="360" w:lineRule="auto"/>
        <w:ind w:firstLine="2240" w:firstLineChars="700"/>
        <w:rPr>
          <w:rFonts w:eastAsiaTheme="minorEastAsia"/>
          <w:sz w:val="32"/>
          <w:szCs w:val="32"/>
        </w:rPr>
      </w:pPr>
    </w:p>
    <w:p>
      <w:pPr>
        <w:spacing w:line="360" w:lineRule="auto"/>
        <w:ind w:firstLine="2240" w:firstLineChars="700"/>
        <w:rPr>
          <w:rFonts w:eastAsiaTheme="minorEastAsia"/>
          <w:sz w:val="32"/>
          <w:szCs w:val="32"/>
          <w:u w:val="single"/>
        </w:rPr>
      </w:pPr>
      <w:r>
        <w:rPr>
          <w:rFonts w:eastAsiaTheme="minorEastAsia"/>
          <w:sz w:val="32"/>
          <w:szCs w:val="32"/>
        </w:rPr>
        <w:t>申请时间</w:t>
      </w:r>
    </w:p>
    <w:p>
      <w:pPr>
        <w:ind w:firstLine="2880" w:firstLineChars="900"/>
        <w:rPr>
          <w:rFonts w:eastAsiaTheme="minorEastAsia"/>
          <w:sz w:val="32"/>
          <w:szCs w:val="32"/>
          <w:u w:val="single"/>
        </w:rPr>
      </w:pPr>
    </w:p>
    <w:p>
      <w:pPr>
        <w:ind w:firstLine="2880" w:firstLineChars="900"/>
        <w:rPr>
          <w:rFonts w:eastAsiaTheme="minorEastAsia"/>
          <w:sz w:val="32"/>
          <w:szCs w:val="32"/>
          <w:u w:val="single"/>
        </w:rPr>
      </w:pPr>
    </w:p>
    <w:p>
      <w:pPr>
        <w:ind w:firstLine="2880" w:firstLineChars="900"/>
        <w:rPr>
          <w:rFonts w:eastAsiaTheme="minorEastAsia"/>
          <w:sz w:val="32"/>
          <w:szCs w:val="32"/>
          <w:u w:val="single"/>
        </w:rPr>
      </w:pPr>
    </w:p>
    <w:p>
      <w:pPr>
        <w:rPr>
          <w:rFonts w:eastAsiaTheme="minorEastAsia"/>
          <w:sz w:val="32"/>
          <w:szCs w:val="32"/>
          <w:u w:val="single"/>
        </w:rPr>
      </w:pPr>
    </w:p>
    <w:p>
      <w:pPr>
        <w:ind w:firstLine="2880" w:firstLineChars="900"/>
        <w:rPr>
          <w:rFonts w:eastAsiaTheme="minorEastAsia"/>
          <w:sz w:val="32"/>
          <w:szCs w:val="32"/>
          <w:u w:val="single"/>
        </w:rPr>
      </w:pPr>
    </w:p>
    <w:p>
      <w:pPr>
        <w:ind w:firstLine="2880" w:firstLineChars="900"/>
        <w:rPr>
          <w:rFonts w:eastAsiaTheme="minorEastAsia"/>
          <w:sz w:val="32"/>
          <w:szCs w:val="32"/>
          <w:u w:val="single"/>
        </w:rPr>
      </w:pPr>
    </w:p>
    <w:p>
      <w:pPr>
        <w:jc w:val="center"/>
        <w:rPr>
          <w:sz w:val="32"/>
          <w:szCs w:val="32"/>
        </w:rPr>
      </w:pPr>
      <w:r>
        <w:rPr>
          <w:rFonts w:eastAsiaTheme="minorEastAsia"/>
          <w:sz w:val="32"/>
          <w:szCs w:val="32"/>
        </w:rPr>
        <w:t>眉山市医疗保障局印制</w:t>
      </w:r>
    </w:p>
    <w:p>
      <w:pPr>
        <w:jc w:val="center"/>
        <w:rPr>
          <w:rFonts w:eastAsia="仿宋_GB2312"/>
          <w:b/>
          <w:sz w:val="44"/>
          <w:szCs w:val="44"/>
        </w:rPr>
      </w:pPr>
      <w:r>
        <w:rPr>
          <w:rFonts w:eastAsia="仿宋_GB2312"/>
          <w:b/>
          <w:sz w:val="44"/>
          <w:szCs w:val="44"/>
        </w:rPr>
        <w:t>填 写 说 明</w:t>
      </w:r>
    </w:p>
    <w:p>
      <w:pPr>
        <w:jc w:val="center"/>
        <w:rPr>
          <w:rFonts w:eastAsia="仿宋_GB2312"/>
          <w:b/>
          <w:sz w:val="32"/>
          <w:szCs w:val="32"/>
        </w:rPr>
      </w:pPr>
    </w:p>
    <w:p>
      <w:pPr>
        <w:ind w:firstLine="640" w:firstLineChars="200"/>
        <w:rPr>
          <w:rFonts w:eastAsia="仿宋_GB2312"/>
          <w:sz w:val="32"/>
          <w:szCs w:val="32"/>
        </w:rPr>
      </w:pPr>
      <w:r>
        <w:rPr>
          <w:rFonts w:eastAsia="仿宋_GB2312"/>
          <w:sz w:val="32"/>
          <w:szCs w:val="32"/>
        </w:rPr>
        <w:t>一、该表用黑色字迹的签字笔或钢笔填写，要求字迹工整清楚，内容真实。</w:t>
      </w:r>
    </w:p>
    <w:p>
      <w:pPr>
        <w:ind w:firstLine="640" w:firstLineChars="200"/>
        <w:rPr>
          <w:rFonts w:eastAsia="仿宋_GB2312"/>
          <w:sz w:val="32"/>
          <w:szCs w:val="32"/>
        </w:rPr>
      </w:pPr>
      <w:r>
        <w:rPr>
          <w:rFonts w:eastAsia="仿宋_GB2312"/>
          <w:sz w:val="32"/>
          <w:szCs w:val="32"/>
        </w:rPr>
        <w:t>二、“医院等级”一栏由医院填写，其他类别的医疗机构不填写。</w:t>
      </w:r>
    </w:p>
    <w:p>
      <w:pPr>
        <w:ind w:left="638" w:leftChars="304"/>
        <w:rPr>
          <w:rFonts w:eastAsia="仿宋_GB2312"/>
          <w:sz w:val="32"/>
          <w:szCs w:val="32"/>
        </w:rPr>
      </w:pPr>
      <w:r>
        <w:rPr>
          <w:rFonts w:eastAsia="仿宋_GB2312"/>
          <w:sz w:val="32"/>
          <w:szCs w:val="32"/>
        </w:rPr>
        <w:t>三、“申请内容”一栏由医疗机构选择填写申请意向。</w:t>
      </w:r>
    </w:p>
    <w:p>
      <w:pPr>
        <w:ind w:firstLine="640" w:firstLineChars="200"/>
        <w:rPr>
          <w:rFonts w:eastAsia="仿宋_GB2312"/>
          <w:sz w:val="32"/>
          <w:szCs w:val="32"/>
        </w:rPr>
      </w:pPr>
      <w:r>
        <w:rPr>
          <w:rFonts w:eastAsia="仿宋_GB2312"/>
          <w:sz w:val="32"/>
          <w:szCs w:val="32"/>
        </w:rPr>
        <w:t>四、医疗机构向统筹地区医保经办机构提交申请书时，要附以下材料：</w:t>
      </w:r>
    </w:p>
    <w:p>
      <w:pPr>
        <w:pStyle w:val="4"/>
        <w:spacing w:before="0" w:beforeAutospacing="0" w:after="0" w:afterAutospacing="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（一）《眉山市医疗保障定点医疗机构服务协议申请表》一式两份。</w:t>
      </w:r>
    </w:p>
    <w:p>
      <w:pPr>
        <w:pStyle w:val="4"/>
        <w:spacing w:before="0" w:beforeAutospacing="0" w:after="0" w:afterAutospacing="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医疗机构概况和可承担医疗保险能力介绍的书面材料，提供法定代表人（负责人）身份证、工作人员有关资格证件（身份证、学历证、执业医师证书、护士证、药师证等）、职工花名册及依法参加社会保险的证明材料。</w:t>
      </w:r>
    </w:p>
    <w:p>
      <w:pPr>
        <w:pStyle w:val="4"/>
        <w:spacing w:before="0" w:beforeAutospacing="0" w:after="0" w:afterAutospacing="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（三）《医疗机构执业许可证》、《营业执照》、组织机构代码证、单位银行账户信息等材料及复印件。</w:t>
      </w:r>
    </w:p>
    <w:p>
      <w:pPr>
        <w:pStyle w:val="4"/>
        <w:spacing w:before="0" w:beforeAutospacing="0" w:after="0" w:afterAutospacing="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（四）医院等级评审文件及相关证明材料</w:t>
      </w:r>
    </w:p>
    <w:p>
      <w:pPr>
        <w:spacing w:line="580" w:lineRule="exact"/>
        <w:ind w:firstLine="640" w:firstLineChars="200"/>
        <w:rPr>
          <w:rFonts w:eastAsia="仿宋_GB2312"/>
          <w:sz w:val="32"/>
          <w:szCs w:val="44"/>
        </w:rPr>
      </w:pPr>
      <w:r>
        <w:rPr>
          <w:rFonts w:eastAsia="仿宋_GB2312"/>
          <w:sz w:val="32"/>
          <w:szCs w:val="44"/>
        </w:rPr>
        <w:t>（五）上年度业务收支情况和门诊、住院诊疗服务量（包括：门诊人次、均次医疗费、住院人次、平均住院日、均次住院费用、均次床日费用）。（新开办医疗机构申请时可不提供）</w:t>
      </w:r>
    </w:p>
    <w:p>
      <w:pPr>
        <w:pStyle w:val="4"/>
        <w:spacing w:before="0" w:beforeAutospacing="0" w:after="0" w:afterAutospacing="0" w:line="540" w:lineRule="exact"/>
        <w:ind w:firstLine="640" w:firstLineChars="200"/>
        <w:rPr>
          <w:rFonts w:ascii="Times New Roman" w:hAnsi="Times New Roman" w:eastAsia="仿宋" w:cs="Times New Roman"/>
          <w:sz w:val="32"/>
          <w:szCs w:val="32"/>
        </w:rPr>
      </w:pPr>
    </w:p>
    <w:p>
      <w:pPr>
        <w:pStyle w:val="4"/>
        <w:spacing w:before="0" w:beforeAutospacing="0" w:after="0" w:afterAutospacing="0" w:line="540" w:lineRule="exact"/>
        <w:rPr>
          <w:rFonts w:ascii="Times New Roman" w:hAnsi="Times New Roman" w:eastAsia="仿宋" w:cs="Times New Roman"/>
          <w:sz w:val="32"/>
          <w:szCs w:val="32"/>
        </w:rPr>
      </w:pPr>
    </w:p>
    <w:tbl>
      <w:tblPr>
        <w:tblStyle w:val="5"/>
        <w:tblpPr w:leftFromText="180" w:rightFromText="180" w:vertAnchor="text" w:horzAnchor="margin" w:tblpXSpec="center" w:tblpY="154"/>
        <w:tblW w:w="1000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7"/>
        <w:gridCol w:w="1245"/>
        <w:gridCol w:w="1274"/>
        <w:gridCol w:w="281"/>
        <w:gridCol w:w="499"/>
        <w:gridCol w:w="840"/>
        <w:gridCol w:w="218"/>
        <w:gridCol w:w="382"/>
        <w:gridCol w:w="345"/>
        <w:gridCol w:w="855"/>
        <w:gridCol w:w="312"/>
        <w:gridCol w:w="513"/>
        <w:gridCol w:w="195"/>
        <w:gridCol w:w="600"/>
        <w:gridCol w:w="245"/>
        <w:gridCol w:w="726"/>
        <w:gridCol w:w="8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1894"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单位名称</w:t>
            </w:r>
          </w:p>
        </w:tc>
        <w:tc>
          <w:tcPr>
            <w:tcW w:w="8114" w:type="dxa"/>
            <w:gridSpan w:val="15"/>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894"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统一社会</w:t>
            </w:r>
          </w:p>
          <w:p>
            <w:pPr>
              <w:jc w:val="center"/>
              <w:rPr>
                <w:rFonts w:eastAsiaTheme="minorEastAsia"/>
                <w:sz w:val="28"/>
                <w:szCs w:val="28"/>
              </w:rPr>
            </w:pPr>
            <w:r>
              <w:rPr>
                <w:rFonts w:eastAsiaTheme="minorEastAsia"/>
                <w:sz w:val="28"/>
                <w:szCs w:val="28"/>
              </w:rPr>
              <w:t>信用代码</w:t>
            </w:r>
          </w:p>
        </w:tc>
        <w:tc>
          <w:tcPr>
            <w:tcW w:w="1556"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1557" w:type="dxa"/>
            <w:gridSpan w:val="3"/>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法人代表</w:t>
            </w:r>
          </w:p>
        </w:tc>
        <w:tc>
          <w:tcPr>
            <w:tcW w:w="1894" w:type="dxa"/>
            <w:gridSpan w:val="4"/>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1553" w:type="dxa"/>
            <w:gridSpan w:val="4"/>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联系电话</w:t>
            </w:r>
          </w:p>
        </w:tc>
        <w:tc>
          <w:tcPr>
            <w:tcW w:w="1554"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1894"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所有制形式</w:t>
            </w:r>
          </w:p>
        </w:tc>
        <w:tc>
          <w:tcPr>
            <w:tcW w:w="3113" w:type="dxa"/>
            <w:gridSpan w:val="5"/>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1894" w:type="dxa"/>
            <w:gridSpan w:val="4"/>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机构类别</w:t>
            </w:r>
          </w:p>
        </w:tc>
        <w:tc>
          <w:tcPr>
            <w:tcW w:w="3107" w:type="dxa"/>
            <w:gridSpan w:val="6"/>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trPr>
        <w:tc>
          <w:tcPr>
            <w:tcW w:w="1894"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医院等级</w:t>
            </w:r>
          </w:p>
        </w:tc>
        <w:tc>
          <w:tcPr>
            <w:tcW w:w="3113" w:type="dxa"/>
            <w:gridSpan w:val="5"/>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1894" w:type="dxa"/>
            <w:gridSpan w:val="4"/>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邮政编码</w:t>
            </w:r>
          </w:p>
        </w:tc>
        <w:tc>
          <w:tcPr>
            <w:tcW w:w="3107" w:type="dxa"/>
            <w:gridSpan w:val="6"/>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1894"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单位地址</w:t>
            </w:r>
          </w:p>
        </w:tc>
        <w:tc>
          <w:tcPr>
            <w:tcW w:w="8114" w:type="dxa"/>
            <w:gridSpan w:val="15"/>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9" w:hRule="atLeast"/>
        </w:trPr>
        <w:tc>
          <w:tcPr>
            <w:tcW w:w="3169" w:type="dxa"/>
            <w:gridSpan w:val="3"/>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联系人</w:t>
            </w:r>
          </w:p>
        </w:tc>
        <w:tc>
          <w:tcPr>
            <w:tcW w:w="2220" w:type="dxa"/>
            <w:gridSpan w:val="5"/>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2220" w:type="dxa"/>
            <w:gridSpan w:val="5"/>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联系电话</w:t>
            </w:r>
          </w:p>
        </w:tc>
        <w:tc>
          <w:tcPr>
            <w:tcW w:w="2399" w:type="dxa"/>
            <w:gridSpan w:val="4"/>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169" w:type="dxa"/>
            <w:gridSpan w:val="3"/>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执业许可证号</w:t>
            </w:r>
          </w:p>
        </w:tc>
        <w:tc>
          <w:tcPr>
            <w:tcW w:w="6839" w:type="dxa"/>
            <w:gridSpan w:val="14"/>
            <w:tcBorders>
              <w:top w:val="single" w:color="auto" w:sz="8" w:space="0"/>
              <w:left w:val="single" w:color="auto" w:sz="8" w:space="0"/>
              <w:bottom w:val="single" w:color="auto" w:sz="8" w:space="0"/>
              <w:right w:val="single" w:color="auto" w:sz="8" w:space="0"/>
            </w:tcBorders>
          </w:tcPr>
          <w:p>
            <w:pP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169" w:type="dxa"/>
            <w:gridSpan w:val="3"/>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单位开户银行及账号</w:t>
            </w:r>
          </w:p>
        </w:tc>
        <w:tc>
          <w:tcPr>
            <w:tcW w:w="6839" w:type="dxa"/>
            <w:gridSpan w:val="14"/>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648" w:type="dxa"/>
            <w:vMerge w:val="restart"/>
            <w:tcBorders>
              <w:top w:val="single" w:color="auto" w:sz="8" w:space="0"/>
              <w:left w:val="single" w:color="auto" w:sz="8" w:space="0"/>
              <w:bottom w:val="single" w:color="auto" w:sz="8" w:space="0"/>
              <w:right w:val="single" w:color="auto" w:sz="8" w:space="0"/>
            </w:tcBorders>
            <w:vAlign w:val="center"/>
          </w:tcPr>
          <w:p>
            <w:pPr>
              <w:spacing w:line="10" w:lineRule="atLeast"/>
              <w:jc w:val="center"/>
              <w:rPr>
                <w:rFonts w:eastAsiaTheme="minorEastAsia"/>
                <w:sz w:val="28"/>
                <w:szCs w:val="28"/>
              </w:rPr>
            </w:pPr>
            <w:r>
              <w:rPr>
                <w:rFonts w:eastAsiaTheme="minorEastAsia"/>
                <w:sz w:val="28"/>
                <w:szCs w:val="28"/>
              </w:rPr>
              <w:t>卫生技术人员构成</w:t>
            </w:r>
          </w:p>
        </w:tc>
        <w:tc>
          <w:tcPr>
            <w:tcW w:w="2521" w:type="dxa"/>
            <w:gridSpan w:val="2"/>
            <w:vMerge w:val="restart"/>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1620" w:type="dxa"/>
            <w:gridSpan w:val="3"/>
            <w:tcBorders>
              <w:top w:val="single" w:color="auto" w:sz="8" w:space="0"/>
              <w:left w:val="single" w:color="auto" w:sz="8" w:space="0"/>
              <w:bottom w:val="single" w:color="auto" w:sz="4" w:space="0"/>
              <w:right w:val="single" w:color="auto" w:sz="8" w:space="0"/>
            </w:tcBorders>
            <w:vAlign w:val="center"/>
          </w:tcPr>
          <w:p>
            <w:pPr>
              <w:jc w:val="center"/>
              <w:rPr>
                <w:rFonts w:eastAsiaTheme="minorEastAsia"/>
                <w:sz w:val="28"/>
                <w:szCs w:val="28"/>
              </w:rPr>
            </w:pPr>
            <w:r>
              <w:rPr>
                <w:rFonts w:eastAsiaTheme="minorEastAsia"/>
                <w:sz w:val="28"/>
                <w:szCs w:val="28"/>
              </w:rPr>
              <w:t>总人数</w:t>
            </w:r>
          </w:p>
        </w:tc>
        <w:tc>
          <w:tcPr>
            <w:tcW w:w="1800" w:type="dxa"/>
            <w:gridSpan w:val="4"/>
            <w:tcBorders>
              <w:top w:val="single" w:color="auto" w:sz="8" w:space="0"/>
              <w:left w:val="single" w:color="auto" w:sz="8" w:space="0"/>
              <w:bottom w:val="single" w:color="auto" w:sz="4" w:space="0"/>
              <w:right w:val="single" w:color="auto" w:sz="8" w:space="0"/>
            </w:tcBorders>
            <w:vAlign w:val="center"/>
          </w:tcPr>
          <w:p>
            <w:pPr>
              <w:jc w:val="center"/>
              <w:rPr>
                <w:rFonts w:eastAsiaTheme="minorEastAsia"/>
                <w:sz w:val="28"/>
                <w:szCs w:val="28"/>
              </w:rPr>
            </w:pPr>
            <w:r>
              <w:rPr>
                <w:rFonts w:eastAsiaTheme="minorEastAsia"/>
                <w:sz w:val="28"/>
                <w:szCs w:val="28"/>
              </w:rPr>
              <w:t>高级职称</w:t>
            </w:r>
          </w:p>
        </w:tc>
        <w:tc>
          <w:tcPr>
            <w:tcW w:w="1620" w:type="dxa"/>
            <w:gridSpan w:val="4"/>
            <w:tcBorders>
              <w:top w:val="single" w:color="auto" w:sz="8" w:space="0"/>
              <w:left w:val="single" w:color="auto" w:sz="8" w:space="0"/>
              <w:bottom w:val="single" w:color="auto" w:sz="4" w:space="0"/>
              <w:right w:val="single" w:color="auto" w:sz="8" w:space="0"/>
            </w:tcBorders>
            <w:vAlign w:val="center"/>
          </w:tcPr>
          <w:p>
            <w:pPr>
              <w:jc w:val="center"/>
              <w:rPr>
                <w:rFonts w:eastAsiaTheme="minorEastAsia"/>
                <w:sz w:val="28"/>
                <w:szCs w:val="28"/>
              </w:rPr>
            </w:pPr>
            <w:r>
              <w:rPr>
                <w:rFonts w:eastAsiaTheme="minorEastAsia"/>
                <w:sz w:val="28"/>
                <w:szCs w:val="28"/>
              </w:rPr>
              <w:t>中级职称</w:t>
            </w:r>
          </w:p>
        </w:tc>
        <w:tc>
          <w:tcPr>
            <w:tcW w:w="1799" w:type="dxa"/>
            <w:gridSpan w:val="3"/>
            <w:tcBorders>
              <w:top w:val="single" w:color="auto" w:sz="8" w:space="0"/>
              <w:left w:val="single" w:color="auto" w:sz="8" w:space="0"/>
              <w:bottom w:val="single" w:color="auto" w:sz="4" w:space="0"/>
              <w:right w:val="single" w:color="auto" w:sz="8" w:space="0"/>
            </w:tcBorders>
            <w:vAlign w:val="center"/>
          </w:tcPr>
          <w:p>
            <w:pPr>
              <w:jc w:val="center"/>
              <w:rPr>
                <w:rFonts w:eastAsiaTheme="minorEastAsia"/>
                <w:sz w:val="28"/>
                <w:szCs w:val="28"/>
              </w:rPr>
            </w:pPr>
            <w:r>
              <w:rPr>
                <w:rFonts w:eastAsiaTheme="minorEastAsia"/>
                <w:sz w:val="28"/>
                <w:szCs w:val="28"/>
              </w:rPr>
              <w:t>初级职称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60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780" w:type="dxa"/>
            <w:gridSpan w:val="2"/>
            <w:tcBorders>
              <w:top w:val="single" w:color="auto" w:sz="4" w:space="0"/>
              <w:left w:val="single" w:color="auto" w:sz="8" w:space="0"/>
              <w:bottom w:val="single" w:color="auto" w:sz="8" w:space="0"/>
              <w:right w:val="single" w:color="auto" w:sz="4" w:space="0"/>
            </w:tcBorders>
            <w:vAlign w:val="center"/>
          </w:tcPr>
          <w:p>
            <w:pPr>
              <w:jc w:val="center"/>
              <w:rPr>
                <w:rFonts w:eastAsiaTheme="minorEastAsia"/>
                <w:sz w:val="28"/>
                <w:szCs w:val="28"/>
              </w:rPr>
            </w:pPr>
            <w:r>
              <w:rPr>
                <w:rFonts w:eastAsiaTheme="minorEastAsia"/>
                <w:sz w:val="28"/>
                <w:szCs w:val="28"/>
              </w:rPr>
              <w:t>注册</w:t>
            </w:r>
          </w:p>
        </w:tc>
        <w:tc>
          <w:tcPr>
            <w:tcW w:w="840" w:type="dxa"/>
            <w:tcBorders>
              <w:top w:val="single" w:color="auto" w:sz="4" w:space="0"/>
              <w:left w:val="single" w:color="auto" w:sz="4"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在岗</w:t>
            </w:r>
          </w:p>
        </w:tc>
        <w:tc>
          <w:tcPr>
            <w:tcW w:w="945" w:type="dxa"/>
            <w:gridSpan w:val="3"/>
            <w:tcBorders>
              <w:top w:val="single" w:color="auto" w:sz="4" w:space="0"/>
              <w:left w:val="single" w:color="auto" w:sz="8" w:space="0"/>
              <w:bottom w:val="single" w:color="auto" w:sz="8" w:space="0"/>
              <w:right w:val="single" w:color="auto" w:sz="4" w:space="0"/>
            </w:tcBorders>
            <w:vAlign w:val="center"/>
          </w:tcPr>
          <w:p>
            <w:pPr>
              <w:jc w:val="center"/>
              <w:rPr>
                <w:rFonts w:eastAsiaTheme="minorEastAsia"/>
                <w:sz w:val="28"/>
                <w:szCs w:val="28"/>
              </w:rPr>
            </w:pPr>
            <w:r>
              <w:rPr>
                <w:rFonts w:eastAsiaTheme="minorEastAsia"/>
                <w:sz w:val="28"/>
                <w:szCs w:val="28"/>
              </w:rPr>
              <w:t>注册</w:t>
            </w:r>
          </w:p>
        </w:tc>
        <w:tc>
          <w:tcPr>
            <w:tcW w:w="855" w:type="dxa"/>
            <w:tcBorders>
              <w:top w:val="single" w:color="auto" w:sz="4" w:space="0"/>
              <w:left w:val="single" w:color="auto" w:sz="4"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在岗</w:t>
            </w:r>
          </w:p>
        </w:tc>
        <w:tc>
          <w:tcPr>
            <w:tcW w:w="825" w:type="dxa"/>
            <w:gridSpan w:val="2"/>
            <w:tcBorders>
              <w:top w:val="single" w:color="auto" w:sz="4" w:space="0"/>
              <w:left w:val="single" w:color="auto" w:sz="8" w:space="0"/>
              <w:bottom w:val="single" w:color="auto" w:sz="8" w:space="0"/>
              <w:right w:val="single" w:color="auto" w:sz="4" w:space="0"/>
            </w:tcBorders>
            <w:vAlign w:val="center"/>
          </w:tcPr>
          <w:p>
            <w:pPr>
              <w:jc w:val="center"/>
              <w:rPr>
                <w:rFonts w:eastAsiaTheme="minorEastAsia"/>
                <w:sz w:val="28"/>
                <w:szCs w:val="28"/>
              </w:rPr>
            </w:pPr>
            <w:r>
              <w:rPr>
                <w:rFonts w:eastAsiaTheme="minorEastAsia"/>
                <w:sz w:val="28"/>
                <w:szCs w:val="28"/>
              </w:rPr>
              <w:t>注册</w:t>
            </w:r>
          </w:p>
        </w:tc>
        <w:tc>
          <w:tcPr>
            <w:tcW w:w="795" w:type="dxa"/>
            <w:gridSpan w:val="2"/>
            <w:tcBorders>
              <w:top w:val="single" w:color="auto" w:sz="4" w:space="0"/>
              <w:left w:val="single" w:color="auto" w:sz="4"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在岗</w:t>
            </w:r>
          </w:p>
        </w:tc>
        <w:tc>
          <w:tcPr>
            <w:tcW w:w="971" w:type="dxa"/>
            <w:gridSpan w:val="2"/>
            <w:tcBorders>
              <w:top w:val="single" w:color="auto" w:sz="4" w:space="0"/>
              <w:left w:val="single" w:color="auto" w:sz="8" w:space="0"/>
              <w:bottom w:val="single" w:color="auto" w:sz="8" w:space="0"/>
              <w:right w:val="single" w:color="auto" w:sz="4" w:space="0"/>
            </w:tcBorders>
            <w:vAlign w:val="center"/>
          </w:tcPr>
          <w:p>
            <w:pPr>
              <w:jc w:val="center"/>
              <w:rPr>
                <w:rFonts w:eastAsiaTheme="minorEastAsia"/>
                <w:sz w:val="28"/>
                <w:szCs w:val="28"/>
              </w:rPr>
            </w:pPr>
            <w:r>
              <w:rPr>
                <w:rFonts w:eastAsiaTheme="minorEastAsia"/>
                <w:sz w:val="28"/>
                <w:szCs w:val="28"/>
              </w:rPr>
              <w:t>注册</w:t>
            </w:r>
          </w:p>
        </w:tc>
        <w:tc>
          <w:tcPr>
            <w:tcW w:w="828" w:type="dxa"/>
            <w:tcBorders>
              <w:top w:val="single" w:color="auto" w:sz="4" w:space="0"/>
              <w:left w:val="single" w:color="auto" w:sz="4"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在岗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2521"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医    生</w:t>
            </w:r>
          </w:p>
        </w:tc>
        <w:tc>
          <w:tcPr>
            <w:tcW w:w="780"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40"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45" w:type="dxa"/>
            <w:gridSpan w:val="3"/>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55"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825"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795" w:type="dxa"/>
            <w:gridSpan w:val="2"/>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71"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28"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2521"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护    士</w:t>
            </w:r>
          </w:p>
        </w:tc>
        <w:tc>
          <w:tcPr>
            <w:tcW w:w="780"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40"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45" w:type="dxa"/>
            <w:gridSpan w:val="3"/>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55"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825"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795" w:type="dxa"/>
            <w:gridSpan w:val="2"/>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71"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28"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2521"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医技人员</w:t>
            </w:r>
          </w:p>
        </w:tc>
        <w:tc>
          <w:tcPr>
            <w:tcW w:w="780"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40"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45" w:type="dxa"/>
            <w:gridSpan w:val="3"/>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55"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825"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795" w:type="dxa"/>
            <w:gridSpan w:val="2"/>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71"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28"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2521"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其他人员</w:t>
            </w:r>
          </w:p>
        </w:tc>
        <w:tc>
          <w:tcPr>
            <w:tcW w:w="780"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40"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45" w:type="dxa"/>
            <w:gridSpan w:val="3"/>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55"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825"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795" w:type="dxa"/>
            <w:gridSpan w:val="2"/>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71"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28"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2521"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合    计</w:t>
            </w:r>
          </w:p>
        </w:tc>
        <w:tc>
          <w:tcPr>
            <w:tcW w:w="780"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40"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45" w:type="dxa"/>
            <w:gridSpan w:val="3"/>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55"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825"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795" w:type="dxa"/>
            <w:gridSpan w:val="2"/>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c>
          <w:tcPr>
            <w:tcW w:w="971" w:type="dxa"/>
            <w:gridSpan w:val="2"/>
            <w:tcBorders>
              <w:top w:val="single" w:color="auto" w:sz="8" w:space="0"/>
              <w:left w:val="single" w:color="auto" w:sz="8" w:space="0"/>
              <w:bottom w:val="single" w:color="auto" w:sz="8" w:space="0"/>
              <w:right w:val="single" w:color="auto" w:sz="4" w:space="0"/>
            </w:tcBorders>
            <w:vAlign w:val="center"/>
          </w:tcPr>
          <w:p>
            <w:pPr>
              <w:jc w:val="center"/>
              <w:rPr>
                <w:rFonts w:eastAsiaTheme="minorEastAsia"/>
                <w:sz w:val="28"/>
                <w:szCs w:val="28"/>
              </w:rPr>
            </w:pPr>
          </w:p>
        </w:tc>
        <w:tc>
          <w:tcPr>
            <w:tcW w:w="828" w:type="dxa"/>
            <w:tcBorders>
              <w:top w:val="single" w:color="auto" w:sz="8" w:space="0"/>
              <w:left w:val="single" w:color="auto" w:sz="4" w:space="0"/>
              <w:bottom w:val="single" w:color="auto" w:sz="8" w:space="0"/>
              <w:right w:val="single" w:color="auto" w:sz="8" w:space="0"/>
            </w:tcBorders>
            <w:vAlign w:val="center"/>
          </w:tcPr>
          <w:p>
            <w:pPr>
              <w:jc w:val="center"/>
              <w:rPr>
                <w:rFonts w:eastAsiaTheme="minorEastAsia"/>
                <w:sz w:val="28"/>
                <w:szCs w:val="28"/>
              </w:rPr>
            </w:pPr>
          </w:p>
        </w:tc>
      </w:tr>
    </w:tbl>
    <w:p/>
    <w:tbl>
      <w:tblPr>
        <w:tblStyle w:val="5"/>
        <w:tblpPr w:leftFromText="180" w:rightFromText="180" w:vertAnchor="text" w:horzAnchor="margin" w:tblpXSpec="center" w:tblpY="778"/>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0"/>
        <w:gridCol w:w="1133"/>
        <w:gridCol w:w="850"/>
        <w:gridCol w:w="991"/>
        <w:gridCol w:w="991"/>
        <w:gridCol w:w="850"/>
        <w:gridCol w:w="99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8"/>
                <w:szCs w:val="28"/>
              </w:rPr>
            </w:pPr>
            <w:r>
              <w:rPr>
                <w:rFonts w:hAnsiTheme="minorEastAsia" w:eastAsiaTheme="minorEastAsia"/>
                <w:sz w:val="28"/>
                <w:szCs w:val="28"/>
              </w:rPr>
              <w:t>科室设置及服务能力情况</w:t>
            </w:r>
          </w:p>
        </w:tc>
        <w:tc>
          <w:tcPr>
            <w:tcW w:w="24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asciiTheme="minorEastAsia" w:hAnsiTheme="minorEastAsia" w:eastAsiaTheme="minorEastAsia"/>
                <w:sz w:val="28"/>
                <w:szCs w:val="28"/>
              </w:rPr>
              <w:t>科</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室</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asciiTheme="minorEastAsia" w:hAnsiTheme="minorEastAsia" w:eastAsiaTheme="minorEastAsia"/>
                <w:sz w:val="28"/>
                <w:szCs w:val="28"/>
              </w:rPr>
              <w:t>床位数</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asciiTheme="minorEastAsia" w:hAnsiTheme="minorEastAsia" w:eastAsiaTheme="minorEastAsia"/>
                <w:sz w:val="28"/>
                <w:szCs w:val="28"/>
              </w:rPr>
              <w:t>医生人数</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asciiTheme="minorEastAsia" w:hAnsiTheme="minorEastAsia" w:eastAsiaTheme="minorEastAsia"/>
                <w:sz w:val="28"/>
                <w:szCs w:val="28"/>
              </w:rPr>
              <w:t>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8"/>
                <w:szCs w:val="28"/>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hAnsiTheme="minorEastAsia" w:eastAsiaTheme="minorEastAsia"/>
                <w:sz w:val="24"/>
              </w:rPr>
              <w:t>登记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hAnsiTheme="minorEastAsia" w:eastAsiaTheme="minorEastAsia"/>
                <w:sz w:val="24"/>
              </w:rPr>
              <w:t>开展</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hAnsiTheme="minorEastAsia" w:eastAsiaTheme="minorEastAsia"/>
                <w:sz w:val="24"/>
              </w:rPr>
              <w:t>编制数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hAnsiTheme="minorEastAsia" w:eastAsiaTheme="minorEastAsia"/>
                <w:sz w:val="24"/>
              </w:rPr>
              <w:t>实际开放数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hAnsiTheme="minorEastAsia" w:eastAsiaTheme="minorEastAsia"/>
                <w:sz w:val="24"/>
              </w:rPr>
              <w:t>注册</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hAnsiTheme="minorEastAsia" w:eastAsiaTheme="minorEastAsia"/>
                <w:sz w:val="24"/>
              </w:rPr>
              <w:t>在岗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hAnsiTheme="minorEastAsia" w:eastAsiaTheme="minorEastAsia"/>
                <w:sz w:val="24"/>
              </w:rPr>
              <w:t>注册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4"/>
              </w:rPr>
            </w:pPr>
            <w:r>
              <w:rPr>
                <w:rFonts w:hAnsiTheme="minorEastAsia" w:eastAsiaTheme="minorEastAsia"/>
                <w:sz w:val="24"/>
              </w:rPr>
              <w:t>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8"/>
                <w:szCs w:val="28"/>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8"/>
                <w:szCs w:val="28"/>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8"/>
                <w:szCs w:val="28"/>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8"/>
                <w:szCs w:val="28"/>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8"/>
                <w:szCs w:val="28"/>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 w:val="28"/>
                <w:szCs w:val="28"/>
              </w:rPr>
            </w:pPr>
          </w:p>
        </w:tc>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sz w:val="28"/>
                <w:szCs w:val="28"/>
              </w:rPr>
            </w:pPr>
            <w:r>
              <w:rPr>
                <w:rFonts w:hAnsiTheme="minorEastAsia" w:eastAsiaTheme="minorEastAsia"/>
                <w:sz w:val="28"/>
                <w:szCs w:val="28"/>
              </w:rPr>
              <w:t>申</w:t>
            </w:r>
          </w:p>
          <w:p>
            <w:pPr>
              <w:jc w:val="center"/>
              <w:rPr>
                <w:rFonts w:eastAsiaTheme="minorEastAsia"/>
                <w:sz w:val="28"/>
                <w:szCs w:val="28"/>
              </w:rPr>
            </w:pPr>
            <w:r>
              <w:rPr>
                <w:rFonts w:hAnsiTheme="minorEastAsia" w:eastAsiaTheme="minorEastAsia"/>
                <w:sz w:val="28"/>
                <w:szCs w:val="28"/>
              </w:rPr>
              <w:t>请</w:t>
            </w:r>
          </w:p>
          <w:p>
            <w:pPr>
              <w:jc w:val="center"/>
              <w:rPr>
                <w:rFonts w:eastAsiaTheme="minorEastAsia"/>
                <w:sz w:val="28"/>
                <w:szCs w:val="28"/>
              </w:rPr>
            </w:pPr>
            <w:r>
              <w:rPr>
                <w:rFonts w:hAnsiTheme="minorEastAsia" w:eastAsiaTheme="minorEastAsia"/>
                <w:sz w:val="28"/>
                <w:szCs w:val="28"/>
              </w:rPr>
              <w:t>服</w:t>
            </w:r>
            <w:r>
              <w:rPr>
                <w:rFonts w:eastAsiaTheme="minorEastAsia"/>
                <w:sz w:val="28"/>
                <w:szCs w:val="28"/>
              </w:rPr>
              <w:t xml:space="preserve">   </w:t>
            </w:r>
            <w:r>
              <w:rPr>
                <w:rFonts w:hAnsiTheme="minorEastAsia" w:eastAsiaTheme="minorEastAsia"/>
                <w:sz w:val="28"/>
                <w:szCs w:val="28"/>
              </w:rPr>
              <w:t>务</w:t>
            </w:r>
          </w:p>
          <w:p>
            <w:pPr>
              <w:jc w:val="center"/>
              <w:rPr>
                <w:rFonts w:eastAsiaTheme="minorEastAsia"/>
                <w:sz w:val="28"/>
                <w:szCs w:val="28"/>
              </w:rPr>
            </w:pPr>
            <w:r>
              <w:rPr>
                <w:rFonts w:hAnsiTheme="minorEastAsia" w:eastAsiaTheme="minorEastAsia"/>
                <w:sz w:val="28"/>
                <w:szCs w:val="28"/>
              </w:rPr>
              <w:t>内</w:t>
            </w:r>
          </w:p>
          <w:p>
            <w:pPr>
              <w:jc w:val="center"/>
              <w:rPr>
                <w:rFonts w:eastAsiaTheme="minorEastAsia"/>
                <w:sz w:val="28"/>
                <w:szCs w:val="28"/>
              </w:rPr>
            </w:pPr>
            <w:r>
              <w:rPr>
                <w:rFonts w:hAnsiTheme="minorEastAsia" w:eastAsiaTheme="minorEastAsia"/>
                <w:sz w:val="28"/>
                <w:szCs w:val="28"/>
              </w:rPr>
              <w:t>容</w:t>
            </w:r>
          </w:p>
        </w:tc>
        <w:tc>
          <w:tcPr>
            <w:tcW w:w="8134" w:type="dxa"/>
            <w:gridSpan w:val="8"/>
            <w:tcBorders>
              <w:top w:val="single" w:color="auto" w:sz="4" w:space="0"/>
              <w:left w:val="single" w:color="auto" w:sz="4" w:space="0"/>
              <w:bottom w:val="single" w:color="auto" w:sz="4" w:space="0"/>
              <w:right w:val="single" w:color="auto" w:sz="4" w:space="0"/>
            </w:tcBorders>
          </w:tcPr>
          <w:p>
            <w:pPr>
              <w:ind w:firstLine="120" w:firstLineChars="50"/>
              <w:jc w:val="left"/>
              <w:rPr>
                <w:rFonts w:eastAsiaTheme="minorEastAsia"/>
                <w:sz w:val="24"/>
              </w:rPr>
            </w:pPr>
            <w:r>
              <w:rPr>
                <w:rFonts w:hAnsiTheme="minorEastAsia" w:eastAsiaTheme="minorEastAsia"/>
                <w:sz w:val="24"/>
              </w:rPr>
              <w:t>一、基本医疗保险业务。</w:t>
            </w:r>
          </w:p>
          <w:p>
            <w:pPr>
              <w:spacing w:line="480" w:lineRule="exact"/>
              <w:ind w:left="105" w:leftChars="50"/>
              <w:jc w:val="left"/>
              <w:rPr>
                <w:rFonts w:eastAsiaTheme="minorEastAsia"/>
                <w:sz w:val="24"/>
              </w:rPr>
            </w:pPr>
            <w:r>
              <w:rPr>
                <w:rFonts w:eastAsiaTheme="minorEastAsia"/>
                <w:sz w:val="24"/>
              </w:rPr>
              <w:t>□</w:t>
            </w:r>
            <w:r>
              <w:rPr>
                <w:rFonts w:hAnsiTheme="minorEastAsia" w:eastAsiaTheme="minorEastAsia"/>
                <w:sz w:val="24"/>
              </w:rPr>
              <w:t>普通门诊医疗服务</w:t>
            </w:r>
          </w:p>
          <w:p>
            <w:pPr>
              <w:spacing w:line="480" w:lineRule="exact"/>
              <w:ind w:left="105" w:leftChars="50"/>
              <w:jc w:val="left"/>
              <w:rPr>
                <w:rFonts w:eastAsiaTheme="minorEastAsia"/>
                <w:sz w:val="24"/>
              </w:rPr>
            </w:pPr>
            <w:r>
              <w:rPr>
                <w:rFonts w:eastAsiaTheme="minorEastAsia"/>
                <w:sz w:val="24"/>
              </w:rPr>
              <w:t>□</w:t>
            </w:r>
            <w:r>
              <w:rPr>
                <w:rFonts w:hAnsiTheme="minorEastAsia" w:eastAsiaTheme="minorEastAsia"/>
                <w:sz w:val="24"/>
              </w:rPr>
              <w:t>城乡居民门诊统筹医疗服务</w:t>
            </w:r>
          </w:p>
          <w:p>
            <w:pPr>
              <w:spacing w:line="480" w:lineRule="exact"/>
              <w:ind w:firstLine="120" w:firstLineChars="50"/>
              <w:jc w:val="left"/>
              <w:rPr>
                <w:rFonts w:eastAsiaTheme="minorEastAsia"/>
                <w:sz w:val="24"/>
              </w:rPr>
            </w:pPr>
            <w:r>
              <w:rPr>
                <w:rFonts w:eastAsiaTheme="minorEastAsia"/>
                <w:sz w:val="24"/>
              </w:rPr>
              <w:t>□Ⅰ</w:t>
            </w:r>
            <w:r>
              <w:rPr>
                <w:rFonts w:hAnsiTheme="minorEastAsia" w:eastAsiaTheme="minorEastAsia"/>
                <w:sz w:val="24"/>
              </w:rPr>
              <w:t>类门诊特殊疾病医疗服务</w:t>
            </w:r>
          </w:p>
          <w:p>
            <w:pPr>
              <w:spacing w:line="480" w:lineRule="exact"/>
              <w:ind w:firstLine="120" w:firstLineChars="50"/>
              <w:jc w:val="left"/>
              <w:rPr>
                <w:rFonts w:eastAsiaTheme="minorEastAsia"/>
                <w:sz w:val="24"/>
              </w:rPr>
            </w:pPr>
            <w:r>
              <w:rPr>
                <w:rFonts w:eastAsiaTheme="minorEastAsia"/>
                <w:sz w:val="24"/>
              </w:rPr>
              <w:t>□Ⅱ</w:t>
            </w:r>
            <w:r>
              <w:rPr>
                <w:rFonts w:hAnsiTheme="minorEastAsia" w:eastAsiaTheme="minorEastAsia"/>
                <w:sz w:val="24"/>
              </w:rPr>
              <w:t>类门诊特殊疾病医疗服务</w:t>
            </w:r>
          </w:p>
          <w:p>
            <w:pPr>
              <w:spacing w:line="480" w:lineRule="exact"/>
              <w:ind w:firstLine="120" w:firstLineChars="50"/>
              <w:jc w:val="left"/>
              <w:rPr>
                <w:rFonts w:eastAsiaTheme="minorEastAsia"/>
                <w:sz w:val="24"/>
              </w:rPr>
            </w:pPr>
            <w:r>
              <w:rPr>
                <w:rFonts w:eastAsiaTheme="minorEastAsia"/>
                <w:sz w:val="24"/>
              </w:rPr>
              <w:t>□</w:t>
            </w:r>
            <w:r>
              <w:rPr>
                <w:rFonts w:hAnsiTheme="minorEastAsia" w:eastAsiaTheme="minorEastAsia"/>
                <w:sz w:val="24"/>
              </w:rPr>
              <w:t>住院医疗服务</w:t>
            </w:r>
          </w:p>
          <w:p>
            <w:pPr>
              <w:spacing w:line="480" w:lineRule="exact"/>
              <w:ind w:firstLine="120" w:firstLineChars="50"/>
              <w:jc w:val="left"/>
              <w:rPr>
                <w:rFonts w:eastAsiaTheme="minorEastAsia"/>
                <w:sz w:val="24"/>
              </w:rPr>
            </w:pPr>
            <w:r>
              <w:rPr>
                <w:rFonts w:eastAsiaTheme="minorEastAsia"/>
                <w:sz w:val="24"/>
              </w:rPr>
              <w:t>□</w:t>
            </w:r>
            <w:r>
              <w:rPr>
                <w:rFonts w:hAnsiTheme="minorEastAsia" w:eastAsiaTheme="minorEastAsia"/>
                <w:sz w:val="24"/>
              </w:rPr>
              <w:t>日间手术</w:t>
            </w:r>
          </w:p>
          <w:p>
            <w:pPr>
              <w:spacing w:line="480" w:lineRule="exact"/>
              <w:ind w:firstLine="120" w:firstLineChars="50"/>
              <w:jc w:val="left"/>
              <w:rPr>
                <w:rFonts w:eastAsiaTheme="minorEastAsia"/>
                <w:sz w:val="24"/>
              </w:rPr>
            </w:pPr>
            <w:r>
              <w:rPr>
                <w:rFonts w:eastAsiaTheme="minorEastAsia"/>
                <w:sz w:val="24"/>
              </w:rPr>
              <w:t>□</w:t>
            </w:r>
            <w:r>
              <w:rPr>
                <w:rFonts w:hAnsiTheme="minorEastAsia" w:eastAsiaTheme="minorEastAsia"/>
                <w:sz w:val="24"/>
              </w:rPr>
              <w:t>家庭医生签约服务</w:t>
            </w:r>
          </w:p>
          <w:p>
            <w:pPr>
              <w:spacing w:line="480" w:lineRule="exact"/>
              <w:ind w:firstLine="120" w:firstLineChars="50"/>
              <w:jc w:val="left"/>
              <w:rPr>
                <w:rFonts w:eastAsiaTheme="minorEastAsia"/>
                <w:sz w:val="24"/>
              </w:rPr>
            </w:pPr>
            <w:r>
              <w:rPr>
                <w:rFonts w:eastAsiaTheme="minorEastAsia"/>
                <w:sz w:val="24"/>
              </w:rPr>
              <w:t>□</w:t>
            </w:r>
            <w:r>
              <w:rPr>
                <w:rFonts w:hAnsiTheme="minorEastAsia" w:eastAsiaTheme="minorEastAsia"/>
                <w:sz w:val="24"/>
              </w:rPr>
              <w:t>疾病应急救助</w:t>
            </w:r>
          </w:p>
          <w:p>
            <w:pPr>
              <w:spacing w:line="480" w:lineRule="exact"/>
              <w:ind w:left="105" w:leftChars="50"/>
              <w:jc w:val="left"/>
              <w:rPr>
                <w:rFonts w:eastAsiaTheme="minorEastAsia"/>
                <w:sz w:val="24"/>
              </w:rPr>
            </w:pPr>
            <w:r>
              <w:rPr>
                <w:rFonts w:eastAsiaTheme="minorEastAsia"/>
                <w:sz w:val="24"/>
              </w:rPr>
              <w:t>□</w:t>
            </w:r>
            <w:r>
              <w:rPr>
                <w:rFonts w:hAnsiTheme="minorEastAsia" w:eastAsiaTheme="minorEastAsia"/>
                <w:sz w:val="24"/>
              </w:rPr>
              <w:t>异地就医</w:t>
            </w:r>
            <w:r>
              <w:rPr>
                <w:rFonts w:eastAsiaTheme="minorEastAsia"/>
                <w:sz w:val="24"/>
              </w:rPr>
              <w:t xml:space="preserve"> </w:t>
            </w:r>
          </w:p>
          <w:p>
            <w:pPr>
              <w:spacing w:line="480" w:lineRule="exact"/>
              <w:ind w:left="105" w:leftChars="50"/>
              <w:jc w:val="left"/>
              <w:rPr>
                <w:rFonts w:eastAsiaTheme="minorEastAsia"/>
                <w:sz w:val="24"/>
              </w:rPr>
            </w:pPr>
            <w:r>
              <w:rPr>
                <w:rFonts w:hAnsiTheme="minorEastAsia" w:eastAsiaTheme="minorEastAsia"/>
                <w:sz w:val="24"/>
              </w:rPr>
              <w:t>二、生育保险业务</w:t>
            </w:r>
            <w:r>
              <w:rPr>
                <w:rFonts w:eastAsiaTheme="minorEastAsia"/>
                <w:sz w:val="24"/>
              </w:rPr>
              <w:t xml:space="preserve"> </w:t>
            </w:r>
          </w:p>
          <w:p>
            <w:pPr>
              <w:spacing w:line="480" w:lineRule="exact"/>
              <w:ind w:firstLine="120" w:firstLineChars="50"/>
              <w:jc w:val="left"/>
              <w:rPr>
                <w:rFonts w:eastAsiaTheme="minorEastAsia"/>
                <w:sz w:val="24"/>
              </w:rPr>
            </w:pPr>
            <w:r>
              <w:rPr>
                <w:rFonts w:eastAsiaTheme="minorEastAsia"/>
                <w:sz w:val="24"/>
              </w:rPr>
              <w:t>□</w:t>
            </w:r>
            <w:r>
              <w:rPr>
                <w:rFonts w:hAnsiTheme="minorEastAsia" w:eastAsiaTheme="minorEastAsia"/>
                <w:sz w:val="24"/>
              </w:rPr>
              <w:t>生育保险医疗服务</w:t>
            </w:r>
          </w:p>
          <w:p>
            <w:pPr>
              <w:rPr>
                <w:rFonts w:eastAsiaTheme="minorEastAsia"/>
                <w:sz w:val="24"/>
              </w:rPr>
            </w:pPr>
          </w:p>
          <w:p>
            <w:pPr>
              <w:ind w:firstLine="4920" w:firstLineChars="2050"/>
              <w:rPr>
                <w:rFonts w:eastAsiaTheme="minorEastAsia"/>
                <w:sz w:val="24"/>
              </w:rPr>
            </w:pPr>
            <w:r>
              <w:rPr>
                <w:rFonts w:hAnsiTheme="minorEastAsia" w:eastAsiaTheme="minorEastAsia"/>
                <w:sz w:val="24"/>
              </w:rPr>
              <w:t>（申请单位印章）</w:t>
            </w:r>
          </w:p>
          <w:p>
            <w:pPr>
              <w:ind w:firstLine="480" w:firstLineChars="200"/>
              <w:rPr>
                <w:rFonts w:eastAsiaTheme="minorEastAsia"/>
                <w:sz w:val="24"/>
              </w:rPr>
            </w:pPr>
            <w:r>
              <w:rPr>
                <w:rFonts w:hAnsiTheme="minorEastAsia" w:eastAsiaTheme="minorEastAsia"/>
                <w:sz w:val="24"/>
              </w:rPr>
              <w:t>法人代表签字</w:t>
            </w:r>
            <w:r>
              <w:rPr>
                <w:rFonts w:eastAsiaTheme="minorEastAsia"/>
                <w:sz w:val="24"/>
              </w:rPr>
              <w:t xml:space="preserve">                          </w:t>
            </w:r>
            <w:r>
              <w:rPr>
                <w:rFonts w:hAnsiTheme="minorEastAsia" w:eastAsiaTheme="minorEastAsia"/>
                <w:sz w:val="24"/>
              </w:rPr>
              <w:t>年</w:t>
            </w:r>
            <w:r>
              <w:rPr>
                <w:rFonts w:eastAsiaTheme="minorEastAsia"/>
                <w:sz w:val="24"/>
              </w:rPr>
              <w:t xml:space="preserve">     </w:t>
            </w:r>
            <w:r>
              <w:rPr>
                <w:rFonts w:hAnsiTheme="minorEastAsia" w:eastAsiaTheme="minorEastAsia"/>
                <w:sz w:val="24"/>
              </w:rPr>
              <w:t>月</w:t>
            </w:r>
            <w:r>
              <w:rPr>
                <w:rFonts w:eastAsiaTheme="minorEastAsia"/>
                <w:sz w:val="24"/>
              </w:rPr>
              <w:t xml:space="preserve">     </w:t>
            </w:r>
            <w:r>
              <w:rPr>
                <w:rFonts w:hAnsiTheme="minorEastAsia" w:eastAsiaTheme="minorEastAsia"/>
                <w:sz w:val="24"/>
              </w:rPr>
              <w:t>日</w:t>
            </w:r>
          </w:p>
        </w:tc>
      </w:tr>
    </w:tbl>
    <w:p/>
    <w:p/>
    <w:p>
      <w:pPr>
        <w:rPr>
          <w:rFonts w:eastAsia="黑体"/>
          <w:sz w:val="32"/>
          <w:szCs w:val="32"/>
        </w:rPr>
      </w:pPr>
      <w:r>
        <w:rPr>
          <w:rFonts w:eastAsia="黑体"/>
          <w:sz w:val="32"/>
          <w:szCs w:val="32"/>
        </w:rPr>
        <w:t>附件2</w:t>
      </w:r>
    </w:p>
    <w:p>
      <w:pPr>
        <w:rPr>
          <w:sz w:val="44"/>
          <w:szCs w:val="44"/>
        </w:rPr>
      </w:pPr>
    </w:p>
    <w:p>
      <w:pPr>
        <w:jc w:val="center"/>
        <w:rPr>
          <w:rFonts w:eastAsia="方正小标宋简体"/>
          <w:spacing w:val="-30"/>
          <w:sz w:val="72"/>
          <w:szCs w:val="72"/>
        </w:rPr>
      </w:pPr>
      <w:r>
        <w:rPr>
          <w:rFonts w:eastAsia="方正小标宋简体"/>
          <w:spacing w:val="-30"/>
          <w:sz w:val="72"/>
          <w:szCs w:val="72"/>
        </w:rPr>
        <w:t>眉山市医疗保障</w:t>
      </w:r>
    </w:p>
    <w:p>
      <w:pPr>
        <w:jc w:val="center"/>
        <w:rPr>
          <w:rFonts w:eastAsia="方正小标宋简体"/>
          <w:spacing w:val="-30"/>
          <w:sz w:val="72"/>
          <w:szCs w:val="72"/>
        </w:rPr>
      </w:pPr>
      <w:r>
        <w:rPr>
          <w:rFonts w:eastAsia="方正小标宋简体"/>
          <w:spacing w:val="-30"/>
          <w:sz w:val="72"/>
          <w:szCs w:val="72"/>
        </w:rPr>
        <w:t>定点零售药店服务协议申请表</w:t>
      </w:r>
    </w:p>
    <w:p>
      <w:pPr>
        <w:rPr>
          <w:sz w:val="28"/>
          <w:szCs w:val="28"/>
        </w:rPr>
      </w:pPr>
    </w:p>
    <w:p>
      <w:pPr>
        <w:rPr>
          <w:sz w:val="28"/>
          <w:szCs w:val="28"/>
        </w:rPr>
      </w:pPr>
    </w:p>
    <w:p>
      <w:pPr>
        <w:rPr>
          <w:sz w:val="28"/>
          <w:szCs w:val="28"/>
        </w:rPr>
      </w:pPr>
    </w:p>
    <w:p>
      <w:pPr>
        <w:rPr>
          <w:sz w:val="28"/>
          <w:szCs w:val="28"/>
        </w:rPr>
      </w:pPr>
    </w:p>
    <w:p>
      <w:pPr>
        <w:spacing w:line="360" w:lineRule="auto"/>
        <w:ind w:firstLine="1600" w:firstLineChars="500"/>
        <w:rPr>
          <w:rFonts w:eastAsiaTheme="minorEastAsia"/>
          <w:sz w:val="32"/>
          <w:szCs w:val="32"/>
          <w:u w:val="single"/>
        </w:rPr>
      </w:pPr>
      <w:r>
        <w:rPr>
          <w:rFonts w:eastAsiaTheme="minorEastAsia"/>
          <w:sz w:val="32"/>
          <w:szCs w:val="32"/>
        </w:rPr>
        <w:t>申请单位</w:t>
      </w:r>
    </w:p>
    <w:p>
      <w:pPr>
        <w:spacing w:line="360" w:lineRule="auto"/>
        <w:ind w:firstLine="2560" w:firstLineChars="800"/>
        <w:rPr>
          <w:rFonts w:eastAsiaTheme="minorEastAsia"/>
          <w:sz w:val="32"/>
          <w:szCs w:val="32"/>
          <w:u w:val="single"/>
        </w:rPr>
      </w:pPr>
    </w:p>
    <w:p>
      <w:pPr>
        <w:spacing w:line="360" w:lineRule="auto"/>
        <w:ind w:firstLine="2560" w:firstLineChars="800"/>
        <w:rPr>
          <w:rFonts w:eastAsiaTheme="minorEastAsia"/>
          <w:sz w:val="32"/>
          <w:szCs w:val="32"/>
          <w:u w:val="single"/>
        </w:rPr>
      </w:pPr>
    </w:p>
    <w:p>
      <w:pPr>
        <w:spacing w:line="360" w:lineRule="auto"/>
        <w:ind w:firstLine="1600" w:firstLineChars="500"/>
        <w:rPr>
          <w:rFonts w:eastAsiaTheme="minorEastAsia"/>
          <w:sz w:val="32"/>
          <w:szCs w:val="32"/>
          <w:u w:val="single"/>
        </w:rPr>
      </w:pPr>
      <w:r>
        <w:rPr>
          <w:rFonts w:eastAsiaTheme="minorEastAsia"/>
          <w:sz w:val="32"/>
          <w:szCs w:val="32"/>
        </w:rPr>
        <w:t>申请时间</w:t>
      </w:r>
    </w:p>
    <w:p>
      <w:pPr>
        <w:ind w:firstLine="2520" w:firstLineChars="900"/>
        <w:rPr>
          <w:rFonts w:eastAsiaTheme="minorEastAsia"/>
          <w:sz w:val="28"/>
          <w:szCs w:val="28"/>
          <w:u w:val="single"/>
        </w:rPr>
      </w:pPr>
    </w:p>
    <w:p>
      <w:pPr>
        <w:ind w:firstLine="2520" w:firstLineChars="900"/>
        <w:rPr>
          <w:rFonts w:eastAsiaTheme="minorEastAsia"/>
          <w:sz w:val="28"/>
          <w:szCs w:val="28"/>
          <w:u w:val="single"/>
        </w:rPr>
      </w:pPr>
    </w:p>
    <w:p>
      <w:pPr>
        <w:ind w:firstLine="2520" w:firstLineChars="900"/>
        <w:rPr>
          <w:rFonts w:eastAsiaTheme="minorEastAsia"/>
          <w:sz w:val="28"/>
          <w:szCs w:val="28"/>
          <w:u w:val="single"/>
        </w:rPr>
      </w:pPr>
    </w:p>
    <w:p>
      <w:pPr>
        <w:ind w:firstLine="2520" w:firstLineChars="900"/>
        <w:rPr>
          <w:rFonts w:eastAsiaTheme="minorEastAsia"/>
          <w:sz w:val="28"/>
          <w:szCs w:val="28"/>
          <w:u w:val="single"/>
        </w:rPr>
      </w:pPr>
    </w:p>
    <w:p>
      <w:pPr>
        <w:rPr>
          <w:rFonts w:eastAsiaTheme="minorEastAsia"/>
          <w:sz w:val="28"/>
          <w:szCs w:val="28"/>
          <w:u w:val="single"/>
        </w:rPr>
      </w:pPr>
    </w:p>
    <w:p>
      <w:pPr>
        <w:jc w:val="center"/>
        <w:rPr>
          <w:rFonts w:eastAsiaTheme="minorEastAsia"/>
          <w:b/>
          <w:sz w:val="32"/>
          <w:szCs w:val="32"/>
        </w:rPr>
      </w:pPr>
      <w:r>
        <w:rPr>
          <w:rFonts w:eastAsiaTheme="minorEastAsia"/>
          <w:sz w:val="32"/>
          <w:szCs w:val="32"/>
        </w:rPr>
        <w:t>眉山市医疗保障局印制</w:t>
      </w:r>
    </w:p>
    <w:p>
      <w:pPr>
        <w:ind w:firstLine="2883" w:firstLineChars="800"/>
        <w:rPr>
          <w:rFonts w:eastAsia="华文中宋"/>
          <w:b/>
          <w:sz w:val="36"/>
          <w:szCs w:val="36"/>
        </w:rPr>
      </w:pPr>
    </w:p>
    <w:p>
      <w:pPr>
        <w:ind w:firstLine="2883" w:firstLineChars="800"/>
        <w:rPr>
          <w:rFonts w:eastAsia="华文中宋"/>
          <w:b/>
          <w:sz w:val="36"/>
          <w:szCs w:val="36"/>
        </w:rPr>
      </w:pPr>
    </w:p>
    <w:p>
      <w:pPr>
        <w:jc w:val="center"/>
        <w:rPr>
          <w:rFonts w:eastAsia="仿宋_GB2312"/>
          <w:b/>
          <w:sz w:val="36"/>
          <w:szCs w:val="36"/>
        </w:rPr>
      </w:pPr>
      <w:r>
        <w:rPr>
          <w:rFonts w:eastAsia="仿宋_GB2312"/>
          <w:b/>
          <w:sz w:val="36"/>
          <w:szCs w:val="36"/>
        </w:rPr>
        <w:t>填 写 说 明</w:t>
      </w:r>
    </w:p>
    <w:p>
      <w:pPr>
        <w:ind w:firstLine="480" w:firstLineChars="150"/>
        <w:rPr>
          <w:rFonts w:eastAsia="仿宋_GB2312"/>
          <w:sz w:val="32"/>
          <w:szCs w:val="32"/>
        </w:rPr>
      </w:pPr>
      <w:r>
        <w:rPr>
          <w:rFonts w:eastAsia="仿宋_GB2312"/>
          <w:sz w:val="32"/>
          <w:szCs w:val="32"/>
        </w:rPr>
        <w:t>一、该表用黑色字迹的签字笔或钢笔填写，要求字迹工整清楚，内容真实。</w:t>
      </w:r>
    </w:p>
    <w:p>
      <w:pPr>
        <w:ind w:firstLine="480" w:firstLineChars="150"/>
        <w:rPr>
          <w:rFonts w:eastAsia="仿宋_GB2312"/>
          <w:sz w:val="32"/>
          <w:szCs w:val="32"/>
        </w:rPr>
      </w:pPr>
      <w:r>
        <w:rPr>
          <w:rFonts w:eastAsia="仿宋_GB2312"/>
          <w:sz w:val="32"/>
          <w:szCs w:val="32"/>
        </w:rPr>
        <w:t>二、“申请内容”一栏由零售药店选择申请意向。</w:t>
      </w:r>
    </w:p>
    <w:p>
      <w:pPr>
        <w:spacing w:line="560" w:lineRule="exact"/>
        <w:ind w:firstLine="480" w:firstLineChars="150"/>
        <w:rPr>
          <w:rFonts w:eastAsia="仿宋_GB2312"/>
          <w:sz w:val="32"/>
          <w:szCs w:val="32"/>
        </w:rPr>
      </w:pPr>
      <w:r>
        <w:rPr>
          <w:rFonts w:eastAsia="仿宋_GB2312"/>
          <w:sz w:val="32"/>
          <w:szCs w:val="32"/>
        </w:rPr>
        <w:t>三、零售药店向统筹地区医保经办机构提交申请时，要附以下材料：</w:t>
      </w:r>
    </w:p>
    <w:p>
      <w:pPr>
        <w:pStyle w:val="4"/>
        <w:spacing w:before="0" w:beforeAutospacing="0" w:after="0" w:afterAutospacing="0" w:line="540" w:lineRule="exact"/>
        <w:ind w:firstLine="640" w:firstLineChars="200"/>
        <w:rPr>
          <w:rFonts w:ascii="Times New Roman" w:hAnsi="Times New Roman" w:eastAsia="仿宋_GB2312" w:cs="Times New Roman"/>
          <w:color w:val="272727"/>
          <w:sz w:val="32"/>
          <w:szCs w:val="32"/>
        </w:rPr>
      </w:pPr>
      <w:r>
        <w:rPr>
          <w:rFonts w:ascii="Times New Roman" w:hAnsi="Times New Roman" w:eastAsia="仿宋_GB2312" w:cs="Times New Roman"/>
          <w:color w:val="272727"/>
          <w:sz w:val="32"/>
          <w:szCs w:val="32"/>
        </w:rPr>
        <w:t>（一）《眉山市医疗保障定点零售药店服务协议申请表》</w:t>
      </w:r>
      <w:r>
        <w:rPr>
          <w:rFonts w:ascii="Times New Roman" w:hAnsi="Times New Roman" w:eastAsia="仿宋_GB2312" w:cs="Times New Roman"/>
          <w:sz w:val="32"/>
          <w:szCs w:val="32"/>
        </w:rPr>
        <w:t>一式两份</w:t>
      </w:r>
      <w:r>
        <w:rPr>
          <w:rFonts w:ascii="Times New Roman" w:hAnsi="Times New Roman" w:eastAsia="仿宋_GB2312" w:cs="Times New Roman"/>
          <w:color w:val="272727"/>
          <w:sz w:val="32"/>
          <w:szCs w:val="32"/>
        </w:rPr>
        <w:t>。</w:t>
      </w:r>
    </w:p>
    <w:p>
      <w:pPr>
        <w:pStyle w:val="4"/>
        <w:spacing w:before="0" w:beforeAutospacing="0" w:after="0" w:afterAutospacing="0" w:line="540" w:lineRule="exact"/>
        <w:ind w:firstLine="640" w:firstLineChars="200"/>
        <w:rPr>
          <w:rFonts w:ascii="Times New Roman" w:hAnsi="Times New Roman" w:eastAsia="仿宋_GB2312" w:cs="Times New Roman"/>
          <w:color w:val="272727"/>
          <w:sz w:val="32"/>
          <w:szCs w:val="32"/>
        </w:rPr>
      </w:pPr>
      <w:r>
        <w:rPr>
          <w:rFonts w:ascii="Times New Roman" w:hAnsi="Times New Roman" w:eastAsia="仿宋_GB2312" w:cs="Times New Roman"/>
          <w:color w:val="272727"/>
          <w:sz w:val="32"/>
          <w:szCs w:val="32"/>
        </w:rPr>
        <w:t>（二）《药品经营许可证》、《营业执照》、《药品经营质量管理规范》(GSP)认证证书及复印件。</w:t>
      </w:r>
    </w:p>
    <w:p>
      <w:pPr>
        <w:pStyle w:val="4"/>
        <w:spacing w:before="0" w:beforeAutospacing="0" w:after="0" w:afterAutospacing="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272727"/>
          <w:sz w:val="32"/>
          <w:szCs w:val="32"/>
        </w:rPr>
        <w:t>（三）法定代表人或主要负责人的身份证及复印件，</w:t>
      </w:r>
      <w:r>
        <w:rPr>
          <w:rFonts w:ascii="Times New Roman" w:hAnsi="Times New Roman" w:eastAsia="仿宋_GB2312" w:cs="Times New Roman"/>
          <w:sz w:val="32"/>
          <w:szCs w:val="32"/>
        </w:rPr>
        <w:t>职工花名册及依法参加社会保险的证明材料。</w:t>
      </w:r>
    </w:p>
    <w:p>
      <w:pPr>
        <w:pStyle w:val="4"/>
        <w:spacing w:before="0" w:beforeAutospacing="0" w:after="0" w:afterAutospacing="0" w:line="540" w:lineRule="exact"/>
        <w:ind w:firstLine="640" w:firstLineChars="200"/>
        <w:rPr>
          <w:rFonts w:ascii="Times New Roman" w:hAnsi="Times New Roman" w:eastAsia="仿宋_GB2312" w:cs="Times New Roman"/>
          <w:color w:val="272727"/>
          <w:sz w:val="32"/>
          <w:szCs w:val="32"/>
        </w:rPr>
      </w:pPr>
      <w:r>
        <w:rPr>
          <w:rFonts w:ascii="Times New Roman" w:hAnsi="Times New Roman" w:eastAsia="仿宋_GB2312" w:cs="Times New Roman"/>
          <w:color w:val="272727"/>
          <w:sz w:val="32"/>
          <w:szCs w:val="32"/>
        </w:rPr>
        <w:t>（四）药品监管、价格主管部门监督检查合格的证明材料</w:t>
      </w:r>
      <w:r>
        <w:rPr>
          <w:rFonts w:ascii="Times New Roman" w:hAnsi="Times New Roman" w:eastAsia="仿宋_GB2312" w:cs="Times New Roman"/>
          <w:sz w:val="32"/>
          <w:szCs w:val="32"/>
        </w:rPr>
        <w:t>（新开办零售药店申请时可不提供）</w:t>
      </w:r>
      <w:r>
        <w:rPr>
          <w:rFonts w:ascii="Times New Roman" w:hAnsi="Times New Roman" w:eastAsia="仿宋_GB2312" w:cs="Times New Roman"/>
          <w:color w:val="272727"/>
          <w:sz w:val="32"/>
          <w:szCs w:val="32"/>
        </w:rPr>
        <w:t>。</w:t>
      </w:r>
    </w:p>
    <w:p>
      <w:pPr>
        <w:pStyle w:val="4"/>
        <w:spacing w:before="0" w:beforeAutospacing="0" w:after="0" w:afterAutospacing="0" w:line="540" w:lineRule="exact"/>
        <w:ind w:firstLine="640" w:firstLineChars="200"/>
        <w:rPr>
          <w:rFonts w:ascii="Times New Roman" w:hAnsi="Times New Roman" w:eastAsia="仿宋_GB2312" w:cs="Times New Roman"/>
          <w:color w:val="272727"/>
          <w:sz w:val="32"/>
          <w:szCs w:val="32"/>
        </w:rPr>
      </w:pPr>
      <w:r>
        <w:rPr>
          <w:rFonts w:ascii="Times New Roman" w:hAnsi="Times New Roman" w:eastAsia="仿宋_GB2312" w:cs="Times New Roman"/>
          <w:color w:val="272727"/>
          <w:sz w:val="32"/>
          <w:szCs w:val="32"/>
        </w:rPr>
        <w:t>（五）药师以上药学技术人员的职称、执业证件及复印件，从业员资格证书及复印件。</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bl>
      <w:tblPr>
        <w:tblStyle w:val="5"/>
        <w:tblpPr w:leftFromText="180" w:rightFromText="180" w:vertAnchor="page" w:horzAnchor="margin" w:tblpXSpec="center" w:tblpY="1909"/>
        <w:tblW w:w="942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4"/>
        <w:gridCol w:w="1022"/>
        <w:gridCol w:w="1221"/>
        <w:gridCol w:w="1748"/>
        <w:gridCol w:w="1801"/>
        <w:gridCol w:w="2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0" w:hRule="atLeast"/>
        </w:trPr>
        <w:tc>
          <w:tcPr>
            <w:tcW w:w="1816"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药店名称</w:t>
            </w:r>
          </w:p>
        </w:tc>
        <w:tc>
          <w:tcPr>
            <w:tcW w:w="2970"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1802" w:type="dxa"/>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统一社会</w:t>
            </w:r>
          </w:p>
          <w:p>
            <w:pPr>
              <w:jc w:val="center"/>
              <w:rPr>
                <w:rFonts w:eastAsiaTheme="minorEastAsia"/>
                <w:sz w:val="28"/>
                <w:szCs w:val="28"/>
              </w:rPr>
            </w:pPr>
            <w:r>
              <w:rPr>
                <w:rFonts w:eastAsiaTheme="minorEastAsia"/>
                <w:sz w:val="28"/>
                <w:szCs w:val="28"/>
              </w:rPr>
              <w:t>信用代码</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6" w:hRule="atLeast"/>
        </w:trPr>
        <w:tc>
          <w:tcPr>
            <w:tcW w:w="1816"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法人代表</w:t>
            </w:r>
          </w:p>
        </w:tc>
        <w:tc>
          <w:tcPr>
            <w:tcW w:w="2970"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1802" w:type="dxa"/>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联系电话</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 w:hRule="atLeast"/>
        </w:trPr>
        <w:tc>
          <w:tcPr>
            <w:tcW w:w="1816"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所有制形式</w:t>
            </w:r>
          </w:p>
        </w:tc>
        <w:tc>
          <w:tcPr>
            <w:tcW w:w="2970"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1802" w:type="dxa"/>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店堂面积</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 w:hRule="atLeast"/>
        </w:trPr>
        <w:tc>
          <w:tcPr>
            <w:tcW w:w="1816"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单位地址</w:t>
            </w:r>
          </w:p>
        </w:tc>
        <w:tc>
          <w:tcPr>
            <w:tcW w:w="2970"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c>
          <w:tcPr>
            <w:tcW w:w="1802" w:type="dxa"/>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邮政编码</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trPr>
        <w:tc>
          <w:tcPr>
            <w:tcW w:w="3037" w:type="dxa"/>
            <w:gridSpan w:val="3"/>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药品经营许可证号</w:t>
            </w:r>
          </w:p>
        </w:tc>
        <w:tc>
          <w:tcPr>
            <w:tcW w:w="6386" w:type="dxa"/>
            <w:gridSpan w:val="3"/>
            <w:tcBorders>
              <w:top w:val="single" w:color="auto" w:sz="8" w:space="0"/>
              <w:left w:val="single" w:color="auto" w:sz="8" w:space="0"/>
              <w:bottom w:val="single" w:color="auto" w:sz="8" w:space="0"/>
              <w:right w:val="single" w:color="auto" w:sz="8" w:space="0"/>
            </w:tcBorders>
          </w:tcPr>
          <w:p>
            <w:pPr>
              <w:rPr>
                <w:rFonts w:eastAsiaTheme="minorEastAsia"/>
                <w:sz w:val="28"/>
                <w:szCs w:val="28"/>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 w:hRule="atLeast"/>
        </w:trPr>
        <w:tc>
          <w:tcPr>
            <w:tcW w:w="3037" w:type="dxa"/>
            <w:gridSpan w:val="3"/>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单位开户银行及账号</w:t>
            </w:r>
          </w:p>
        </w:tc>
        <w:tc>
          <w:tcPr>
            <w:tcW w:w="6386" w:type="dxa"/>
            <w:gridSpan w:val="3"/>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1" w:hRule="atLeast"/>
        </w:trPr>
        <w:tc>
          <w:tcPr>
            <w:tcW w:w="79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人</w:t>
            </w:r>
          </w:p>
          <w:p>
            <w:pPr>
              <w:jc w:val="center"/>
              <w:rPr>
                <w:rFonts w:eastAsiaTheme="minorEastAsia"/>
                <w:sz w:val="28"/>
                <w:szCs w:val="28"/>
              </w:rPr>
            </w:pPr>
            <w:r>
              <w:rPr>
                <w:rFonts w:eastAsiaTheme="minorEastAsia"/>
                <w:sz w:val="28"/>
                <w:szCs w:val="28"/>
              </w:rPr>
              <w:t>员</w:t>
            </w:r>
          </w:p>
          <w:p>
            <w:pPr>
              <w:jc w:val="center"/>
              <w:rPr>
                <w:rFonts w:eastAsiaTheme="minorEastAsia"/>
                <w:sz w:val="28"/>
                <w:szCs w:val="28"/>
              </w:rPr>
            </w:pPr>
            <w:r>
              <w:rPr>
                <w:rFonts w:eastAsiaTheme="minorEastAsia"/>
                <w:sz w:val="28"/>
                <w:szCs w:val="28"/>
              </w:rPr>
              <w:t>构</w:t>
            </w:r>
          </w:p>
          <w:p>
            <w:pPr>
              <w:jc w:val="center"/>
              <w:rPr>
                <w:rFonts w:eastAsiaTheme="minorEastAsia"/>
                <w:sz w:val="28"/>
                <w:szCs w:val="28"/>
              </w:rPr>
            </w:pPr>
            <w:r>
              <w:rPr>
                <w:rFonts w:eastAsiaTheme="minorEastAsia"/>
                <w:sz w:val="28"/>
                <w:szCs w:val="28"/>
              </w:rPr>
              <w:t>成</w:t>
            </w:r>
          </w:p>
        </w:tc>
        <w:tc>
          <w:tcPr>
            <w:tcW w:w="2243"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Theme="minorEastAsia"/>
                <w:sz w:val="28"/>
                <w:szCs w:val="28"/>
              </w:rPr>
            </w:pPr>
            <w:r>
              <w:rPr>
                <w:rFonts w:eastAsiaTheme="minorEastAsia"/>
                <w:sz w:val="28"/>
                <w:szCs w:val="28"/>
              </w:rPr>
              <w:t>医师人数</w:t>
            </w:r>
          </w:p>
        </w:tc>
        <w:tc>
          <w:tcPr>
            <w:tcW w:w="6386" w:type="dxa"/>
            <w:gridSpan w:val="3"/>
            <w:tcBorders>
              <w:top w:val="single" w:color="auto" w:sz="8" w:space="0"/>
              <w:left w:val="single" w:color="auto" w:sz="8" w:space="0"/>
              <w:bottom w:val="single" w:color="auto" w:sz="8" w:space="0"/>
              <w:right w:val="single" w:color="auto" w:sz="8" w:space="0"/>
            </w:tcBorders>
          </w:tcPr>
          <w:p>
            <w:pP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0" w:hRule="atLeast"/>
        </w:trPr>
        <w:tc>
          <w:tcPr>
            <w:tcW w:w="303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2243" w:type="dxa"/>
            <w:gridSpan w:val="2"/>
            <w:tcBorders>
              <w:top w:val="single" w:color="auto" w:sz="8" w:space="0"/>
              <w:left w:val="single" w:color="auto" w:sz="8" w:space="0"/>
              <w:bottom w:val="single" w:color="auto" w:sz="4" w:space="0"/>
              <w:right w:val="single" w:color="auto" w:sz="8" w:space="0"/>
            </w:tcBorders>
            <w:vAlign w:val="center"/>
          </w:tcPr>
          <w:p>
            <w:pPr>
              <w:jc w:val="center"/>
              <w:rPr>
                <w:rFonts w:eastAsiaTheme="minorEastAsia"/>
                <w:sz w:val="28"/>
                <w:szCs w:val="28"/>
              </w:rPr>
            </w:pPr>
            <w:r>
              <w:rPr>
                <w:rFonts w:eastAsiaTheme="minorEastAsia"/>
                <w:sz w:val="28"/>
                <w:szCs w:val="28"/>
              </w:rPr>
              <w:t>药师人数</w:t>
            </w:r>
          </w:p>
        </w:tc>
        <w:tc>
          <w:tcPr>
            <w:tcW w:w="6386" w:type="dxa"/>
            <w:gridSpan w:val="3"/>
            <w:tcBorders>
              <w:top w:val="single" w:color="auto" w:sz="8" w:space="0"/>
              <w:left w:val="single" w:color="auto" w:sz="8" w:space="0"/>
              <w:bottom w:val="single" w:color="auto" w:sz="4"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trPr>
        <w:tc>
          <w:tcPr>
            <w:tcW w:w="303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2243" w:type="dxa"/>
            <w:gridSpan w:val="2"/>
            <w:tcBorders>
              <w:top w:val="single" w:color="auto" w:sz="4"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营业员人数</w:t>
            </w:r>
          </w:p>
        </w:tc>
        <w:tc>
          <w:tcPr>
            <w:tcW w:w="6386" w:type="dxa"/>
            <w:gridSpan w:val="3"/>
            <w:tcBorders>
              <w:top w:val="single" w:color="auto" w:sz="4"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4" w:hRule="atLeast"/>
        </w:trPr>
        <w:tc>
          <w:tcPr>
            <w:tcW w:w="303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2243"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其他人员数</w:t>
            </w:r>
          </w:p>
        </w:tc>
        <w:tc>
          <w:tcPr>
            <w:tcW w:w="6386" w:type="dxa"/>
            <w:gridSpan w:val="3"/>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303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Theme="minorEastAsia"/>
                <w:sz w:val="28"/>
                <w:szCs w:val="28"/>
              </w:rPr>
            </w:pPr>
          </w:p>
        </w:tc>
        <w:tc>
          <w:tcPr>
            <w:tcW w:w="2243"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合  计</w:t>
            </w:r>
          </w:p>
        </w:tc>
        <w:tc>
          <w:tcPr>
            <w:tcW w:w="6386" w:type="dxa"/>
            <w:gridSpan w:val="3"/>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5" w:hRule="atLeast"/>
        </w:trPr>
        <w:tc>
          <w:tcPr>
            <w:tcW w:w="794" w:type="dxa"/>
            <w:tcBorders>
              <w:top w:val="single" w:color="auto" w:sz="8" w:space="0"/>
              <w:left w:val="single" w:color="auto" w:sz="8" w:space="0"/>
              <w:bottom w:val="single" w:color="auto" w:sz="8" w:space="0"/>
              <w:right w:val="single" w:color="auto" w:sz="8" w:space="0"/>
            </w:tcBorders>
            <w:vAlign w:val="center"/>
          </w:tcPr>
          <w:p>
            <w:pPr>
              <w:jc w:val="center"/>
              <w:rPr>
                <w:rFonts w:eastAsiaTheme="minorEastAsia"/>
                <w:sz w:val="28"/>
                <w:szCs w:val="28"/>
              </w:rPr>
            </w:pPr>
            <w:r>
              <w:rPr>
                <w:rFonts w:eastAsiaTheme="minorEastAsia"/>
                <w:sz w:val="28"/>
                <w:szCs w:val="28"/>
              </w:rPr>
              <w:t>申请服务</w:t>
            </w:r>
          </w:p>
          <w:p>
            <w:pPr>
              <w:jc w:val="center"/>
              <w:rPr>
                <w:rFonts w:eastAsiaTheme="minorEastAsia"/>
                <w:sz w:val="28"/>
                <w:szCs w:val="28"/>
              </w:rPr>
            </w:pPr>
            <w:r>
              <w:rPr>
                <w:rFonts w:eastAsiaTheme="minorEastAsia"/>
                <w:sz w:val="28"/>
                <w:szCs w:val="28"/>
              </w:rPr>
              <w:t>内容</w:t>
            </w:r>
          </w:p>
        </w:tc>
        <w:tc>
          <w:tcPr>
            <w:tcW w:w="8629" w:type="dxa"/>
            <w:gridSpan w:val="5"/>
            <w:tcBorders>
              <w:top w:val="single" w:color="auto" w:sz="8" w:space="0"/>
              <w:left w:val="single" w:color="auto" w:sz="8" w:space="0"/>
              <w:bottom w:val="single" w:color="auto" w:sz="8" w:space="0"/>
              <w:right w:val="single" w:color="auto" w:sz="8" w:space="0"/>
            </w:tcBorders>
          </w:tcPr>
          <w:p>
            <w:pPr>
              <w:ind w:left="300"/>
              <w:rPr>
                <w:rFonts w:eastAsiaTheme="minorEastAsia"/>
                <w:sz w:val="28"/>
                <w:szCs w:val="28"/>
              </w:rPr>
            </w:pPr>
            <w:r>
              <w:rPr>
                <w:rFonts w:eastAsiaTheme="minorEastAsia"/>
                <w:sz w:val="28"/>
                <w:szCs w:val="28"/>
              </w:rPr>
              <w:t>□职工医保门诊购药服务</w:t>
            </w:r>
          </w:p>
          <w:p>
            <w:pPr>
              <w:ind w:left="300"/>
              <w:rPr>
                <w:rFonts w:eastAsiaTheme="minorEastAsia"/>
                <w:sz w:val="28"/>
                <w:szCs w:val="28"/>
              </w:rPr>
            </w:pPr>
            <w:r>
              <w:rPr>
                <w:rFonts w:eastAsiaTheme="minorEastAsia"/>
                <w:sz w:val="28"/>
                <w:szCs w:val="28"/>
              </w:rPr>
              <w:t>□职工医保门诊特殊疾病购药服务</w:t>
            </w:r>
          </w:p>
          <w:p>
            <w:pPr>
              <w:spacing w:line="40" w:lineRule="atLeast"/>
              <w:ind w:firstLine="280" w:firstLineChars="100"/>
              <w:rPr>
                <w:rFonts w:eastAsiaTheme="minorEastAsia"/>
                <w:sz w:val="28"/>
                <w:szCs w:val="28"/>
              </w:rPr>
            </w:pPr>
            <w:r>
              <w:rPr>
                <w:rFonts w:eastAsiaTheme="minorEastAsia"/>
                <w:sz w:val="28"/>
                <w:szCs w:val="28"/>
              </w:rPr>
              <w:t>□异地就医</w:t>
            </w:r>
          </w:p>
          <w:p>
            <w:pPr>
              <w:spacing w:line="40" w:lineRule="atLeast"/>
              <w:rPr>
                <w:rFonts w:eastAsiaTheme="minorEastAsia"/>
                <w:sz w:val="28"/>
                <w:szCs w:val="28"/>
              </w:rPr>
            </w:pPr>
          </w:p>
          <w:p>
            <w:pPr>
              <w:spacing w:line="40" w:lineRule="atLeast"/>
              <w:rPr>
                <w:rFonts w:eastAsiaTheme="minorEastAsia"/>
                <w:sz w:val="28"/>
                <w:szCs w:val="28"/>
              </w:rPr>
            </w:pPr>
          </w:p>
          <w:p>
            <w:pPr>
              <w:spacing w:line="40" w:lineRule="atLeast"/>
              <w:ind w:left="4445" w:leftChars="850" w:right="1120" w:hanging="2660" w:hangingChars="950"/>
              <w:rPr>
                <w:rFonts w:eastAsiaTheme="minorEastAsia"/>
                <w:sz w:val="28"/>
                <w:szCs w:val="28"/>
              </w:rPr>
            </w:pPr>
            <w:r>
              <w:rPr>
                <w:rFonts w:eastAsiaTheme="minorEastAsia"/>
                <w:sz w:val="28"/>
                <w:szCs w:val="28"/>
              </w:rPr>
              <w:t>（申请单位印章）法人代表签字：                              年    月    日</w:t>
            </w:r>
          </w:p>
        </w:tc>
      </w:tr>
    </w:tbl>
    <w:p>
      <w:pPr>
        <w:rPr>
          <w:rFonts w:eastAsia="仿宋_GB2312"/>
        </w:rPr>
      </w:pPr>
    </w:p>
    <w:p>
      <w:pPr>
        <w:spacing w:line="400" w:lineRule="exact"/>
        <w:rPr>
          <w:rFonts w:eastAsia="黑体"/>
          <w:sz w:val="32"/>
          <w:szCs w:val="32"/>
        </w:rPr>
      </w:pPr>
      <w:r>
        <w:rPr>
          <w:rFonts w:eastAsia="黑体"/>
          <w:sz w:val="32"/>
          <w:szCs w:val="32"/>
        </w:rPr>
        <w:t>附件3</w:t>
      </w:r>
    </w:p>
    <w:p>
      <w:pPr>
        <w:spacing w:line="520" w:lineRule="exact"/>
        <w:jc w:val="center"/>
        <w:rPr>
          <w:rFonts w:eastAsia="方正小标宋简体"/>
          <w:sz w:val="44"/>
          <w:szCs w:val="44"/>
        </w:rPr>
      </w:pPr>
      <w:r>
        <w:rPr>
          <w:rFonts w:eastAsia="方正小标宋简体"/>
          <w:sz w:val="44"/>
          <w:szCs w:val="44"/>
        </w:rPr>
        <w:t>眉山市医疗保障定点医疗机构检查评估表</w:t>
      </w:r>
    </w:p>
    <w:tbl>
      <w:tblPr>
        <w:tblStyle w:val="5"/>
        <w:tblW w:w="10314" w:type="dxa"/>
        <w:jc w:val="center"/>
        <w:tblLayout w:type="autofit"/>
        <w:tblCellMar>
          <w:top w:w="0" w:type="dxa"/>
          <w:left w:w="108" w:type="dxa"/>
          <w:bottom w:w="0" w:type="dxa"/>
          <w:right w:w="108" w:type="dxa"/>
        </w:tblCellMar>
      </w:tblPr>
      <w:tblGrid>
        <w:gridCol w:w="440"/>
        <w:gridCol w:w="1228"/>
        <w:gridCol w:w="7796"/>
        <w:gridCol w:w="850"/>
      </w:tblGrid>
      <w:tr>
        <w:tblPrEx>
          <w:tblCellMar>
            <w:top w:w="0" w:type="dxa"/>
            <w:left w:w="108" w:type="dxa"/>
            <w:bottom w:w="0" w:type="dxa"/>
            <w:right w:w="108" w:type="dxa"/>
          </w:tblCellMar>
        </w:tblPrEx>
        <w:trPr>
          <w:trHeight w:val="645" w:hRule="atLeast"/>
          <w:jc w:val="center"/>
        </w:trPr>
        <w:tc>
          <w:tcPr>
            <w:tcW w:w="10314" w:type="dxa"/>
            <w:gridSpan w:val="4"/>
            <w:noWrap/>
            <w:vAlign w:val="center"/>
          </w:tcPr>
          <w:p>
            <w:pPr>
              <w:widowControl/>
              <w:spacing w:line="400" w:lineRule="exact"/>
              <w:jc w:val="left"/>
              <w:rPr>
                <w:rFonts w:eastAsiaTheme="minorEastAsia"/>
                <w:color w:val="000000"/>
                <w:kern w:val="0"/>
                <w:sz w:val="32"/>
                <w:szCs w:val="32"/>
              </w:rPr>
            </w:pPr>
            <w:r>
              <w:rPr>
                <w:rFonts w:eastAsiaTheme="minorEastAsia"/>
                <w:color w:val="000000"/>
                <w:kern w:val="0"/>
                <w:sz w:val="32"/>
                <w:szCs w:val="32"/>
              </w:rPr>
              <w:t>医疗机构名称：</w:t>
            </w:r>
          </w:p>
        </w:tc>
      </w:tr>
      <w:tr>
        <w:tblPrEx>
          <w:tblCellMar>
            <w:top w:w="0" w:type="dxa"/>
            <w:left w:w="108" w:type="dxa"/>
            <w:bottom w:w="0" w:type="dxa"/>
            <w:right w:w="108" w:type="dxa"/>
          </w:tblCellMar>
        </w:tblPrEx>
        <w:trPr>
          <w:trHeight w:val="464" w:hRule="atLeast"/>
          <w:jc w:val="center"/>
        </w:trPr>
        <w:tc>
          <w:tcPr>
            <w:tcW w:w="16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8"/>
                <w:szCs w:val="28"/>
              </w:rPr>
            </w:pPr>
            <w:r>
              <w:rPr>
                <w:rFonts w:eastAsia="黑体"/>
                <w:color w:val="000000"/>
                <w:kern w:val="0"/>
                <w:sz w:val="28"/>
                <w:szCs w:val="28"/>
              </w:rPr>
              <w:t>项目</w:t>
            </w:r>
          </w:p>
        </w:tc>
        <w:tc>
          <w:tcPr>
            <w:tcW w:w="7796" w:type="dxa"/>
            <w:tcBorders>
              <w:top w:val="single" w:color="auto" w:sz="4" w:space="0"/>
              <w:left w:val="nil"/>
              <w:bottom w:val="nil"/>
              <w:right w:val="single" w:color="auto" w:sz="4" w:space="0"/>
            </w:tcBorders>
            <w:vAlign w:val="center"/>
          </w:tcPr>
          <w:p>
            <w:pPr>
              <w:widowControl/>
              <w:ind w:firstLine="560" w:firstLineChars="200"/>
              <w:jc w:val="center"/>
              <w:rPr>
                <w:rFonts w:eastAsia="黑体"/>
                <w:color w:val="000000"/>
                <w:kern w:val="0"/>
                <w:sz w:val="28"/>
                <w:szCs w:val="28"/>
              </w:rPr>
            </w:pPr>
            <w:r>
              <w:rPr>
                <w:rFonts w:eastAsia="黑体"/>
                <w:color w:val="000000"/>
                <w:kern w:val="0"/>
                <w:sz w:val="28"/>
                <w:szCs w:val="28"/>
              </w:rPr>
              <w:t>检查内容</w:t>
            </w:r>
          </w:p>
        </w:tc>
        <w:tc>
          <w:tcPr>
            <w:tcW w:w="850" w:type="dxa"/>
            <w:tcBorders>
              <w:top w:val="single" w:color="auto" w:sz="8" w:space="0"/>
              <w:left w:val="single" w:color="auto" w:sz="8" w:space="0"/>
              <w:bottom w:val="nil"/>
              <w:right w:val="single" w:color="auto" w:sz="8" w:space="0"/>
            </w:tcBorders>
            <w:vAlign w:val="center"/>
          </w:tcPr>
          <w:p>
            <w:pPr>
              <w:widowControl/>
              <w:jc w:val="center"/>
              <w:rPr>
                <w:rFonts w:eastAsia="黑体"/>
                <w:color w:val="000000"/>
                <w:kern w:val="0"/>
                <w:sz w:val="28"/>
                <w:szCs w:val="28"/>
              </w:rPr>
            </w:pPr>
            <w:r>
              <w:rPr>
                <w:rFonts w:eastAsia="黑体"/>
                <w:color w:val="000000"/>
                <w:kern w:val="0"/>
                <w:sz w:val="28"/>
                <w:szCs w:val="28"/>
              </w:rPr>
              <w:t>备注</w:t>
            </w:r>
          </w:p>
        </w:tc>
      </w:tr>
      <w:tr>
        <w:tblPrEx>
          <w:tblCellMar>
            <w:top w:w="0" w:type="dxa"/>
            <w:left w:w="108" w:type="dxa"/>
            <w:bottom w:w="0" w:type="dxa"/>
            <w:right w:w="108" w:type="dxa"/>
          </w:tblCellMar>
        </w:tblPrEx>
        <w:trPr>
          <w:trHeight w:val="1608" w:hRule="atLeast"/>
          <w:jc w:val="center"/>
        </w:trPr>
        <w:tc>
          <w:tcPr>
            <w:tcW w:w="1668" w:type="dxa"/>
            <w:gridSpan w:val="2"/>
            <w:vMerge w:val="restart"/>
            <w:tcBorders>
              <w:top w:val="single" w:color="auto" w:sz="4" w:space="0"/>
              <w:left w:val="single" w:color="auto" w:sz="4" w:space="0"/>
              <w:bottom w:val="single" w:color="000000" w:sz="4" w:space="0"/>
              <w:right w:val="nil"/>
            </w:tcBorders>
            <w:textDirection w:val="tbRlV"/>
            <w:vAlign w:val="center"/>
          </w:tcPr>
          <w:p>
            <w:pPr>
              <w:widowControl/>
              <w:jc w:val="center"/>
              <w:rPr>
                <w:rFonts w:eastAsia="黑体"/>
                <w:color w:val="000000"/>
                <w:kern w:val="0"/>
                <w:sz w:val="22"/>
                <w:szCs w:val="22"/>
              </w:rPr>
            </w:pPr>
            <w:r>
              <w:rPr>
                <w:rFonts w:eastAsia="黑体"/>
                <w:color w:val="000000"/>
                <w:kern w:val="0"/>
                <w:sz w:val="22"/>
                <w:szCs w:val="22"/>
              </w:rPr>
              <w:t>现场检查</w:t>
            </w:r>
          </w:p>
        </w:tc>
        <w:tc>
          <w:tcPr>
            <w:tcW w:w="7796" w:type="dxa"/>
            <w:tcBorders>
              <w:top w:val="single" w:color="auto" w:sz="4" w:space="0"/>
              <w:left w:val="single" w:color="auto" w:sz="4" w:space="0"/>
              <w:bottom w:val="nil"/>
              <w:right w:val="single" w:color="auto" w:sz="4" w:space="0"/>
            </w:tcBorders>
          </w:tcPr>
          <w:p>
            <w:pPr>
              <w:widowControl/>
              <w:jc w:val="left"/>
              <w:rPr>
                <w:color w:val="000000"/>
                <w:kern w:val="0"/>
                <w:sz w:val="22"/>
                <w:szCs w:val="22"/>
              </w:rPr>
            </w:pPr>
            <w:r>
              <w:rPr>
                <w:color w:val="000000"/>
                <w:kern w:val="0"/>
                <w:sz w:val="22"/>
                <w:szCs w:val="22"/>
              </w:rPr>
              <w:t>□1、按定点医药机构经办规程要求提供的申报资料与实际是否吻合。                              □2、是否有健全的内部管理制度、财务管理制度、进销存管理制度。                                                □3、是否有医院HIS系统，信息系统是否满足医保经办机构管理需要，具备及时上传参保人员就医信息的条件。</w:t>
            </w:r>
          </w:p>
          <w:p>
            <w:pPr>
              <w:widowControl/>
              <w:jc w:val="left"/>
              <w:rPr>
                <w:color w:val="000000"/>
                <w:kern w:val="0"/>
                <w:sz w:val="22"/>
                <w:szCs w:val="22"/>
              </w:rPr>
            </w:pPr>
            <w:r>
              <w:rPr>
                <w:color w:val="000000"/>
                <w:kern w:val="0"/>
                <w:sz w:val="22"/>
                <w:szCs w:val="22"/>
              </w:rPr>
              <w:t>□4、是否存在因严重违约行为，被终止医保服务协议未满三年的。</w:t>
            </w:r>
          </w:p>
        </w:tc>
        <w:tc>
          <w:tcPr>
            <w:tcW w:w="850" w:type="dxa"/>
            <w:vMerge w:val="restart"/>
            <w:tcBorders>
              <w:top w:val="single" w:color="auto" w:sz="4" w:space="0"/>
              <w:left w:val="single" w:color="auto" w:sz="4" w:space="0"/>
              <w:bottom w:val="single" w:color="000000" w:sz="4" w:space="0"/>
              <w:right w:val="single" w:color="auto" w:sz="4" w:space="0"/>
            </w:tcBorders>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9" w:hRule="atLeast"/>
          <w:jc w:val="center"/>
        </w:trPr>
        <w:tc>
          <w:tcPr>
            <w:tcW w:w="0" w:type="auto"/>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黑体"/>
                <w:color w:val="000000"/>
                <w:kern w:val="0"/>
                <w:sz w:val="22"/>
                <w:szCs w:val="22"/>
              </w:rPr>
            </w:pPr>
          </w:p>
        </w:tc>
        <w:tc>
          <w:tcPr>
            <w:tcW w:w="7796" w:type="dxa"/>
            <w:tcBorders>
              <w:top w:val="nil"/>
              <w:left w:val="single" w:color="auto" w:sz="4" w:space="0"/>
              <w:bottom w:val="single" w:color="auto" w:sz="4" w:space="0"/>
              <w:right w:val="single" w:color="auto" w:sz="4" w:space="0"/>
            </w:tcBorders>
          </w:tcPr>
          <w:p>
            <w:pPr>
              <w:widowControl/>
              <w:jc w:val="left"/>
              <w:rPr>
                <w:color w:val="000000"/>
                <w:kern w:val="0"/>
                <w:sz w:val="22"/>
                <w:szCs w:val="22"/>
              </w:rPr>
            </w:pPr>
            <w:r>
              <w:rPr>
                <w:color w:val="000000"/>
                <w:kern w:val="0"/>
                <w:sz w:val="22"/>
                <w:szCs w:val="22"/>
              </w:rPr>
              <w:t xml:space="preserve">                                              检查人员签名：</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439" w:hRule="atLeast"/>
          <w:jc w:val="center"/>
        </w:trPr>
        <w:tc>
          <w:tcPr>
            <w:tcW w:w="440" w:type="dxa"/>
            <w:vMerge w:val="restart"/>
            <w:tcBorders>
              <w:top w:val="nil"/>
              <w:left w:val="single" w:color="auto" w:sz="4" w:space="0"/>
              <w:bottom w:val="single" w:color="auto" w:sz="4" w:space="0"/>
              <w:right w:val="single" w:color="auto" w:sz="4" w:space="0"/>
            </w:tcBorders>
            <w:vAlign w:val="center"/>
          </w:tcPr>
          <w:p>
            <w:pPr>
              <w:widowControl/>
              <w:jc w:val="center"/>
              <w:rPr>
                <w:b/>
                <w:bCs/>
                <w:color w:val="000000"/>
                <w:kern w:val="0"/>
                <w:sz w:val="22"/>
                <w:szCs w:val="22"/>
              </w:rPr>
            </w:pPr>
            <w:r>
              <w:rPr>
                <w:b/>
                <w:bCs/>
                <w:color w:val="000000"/>
                <w:kern w:val="0"/>
                <w:sz w:val="22"/>
                <w:szCs w:val="22"/>
              </w:rPr>
              <w:t>申      请      服      务      内      容  评 估</w:t>
            </w:r>
          </w:p>
        </w:tc>
        <w:tc>
          <w:tcPr>
            <w:tcW w:w="1228" w:type="dxa"/>
            <w:tcBorders>
              <w:top w:val="nil"/>
              <w:left w:val="nil"/>
              <w:bottom w:val="single" w:color="auto" w:sz="4" w:space="0"/>
              <w:right w:val="single" w:color="auto" w:sz="4" w:space="0"/>
            </w:tcBorders>
            <w:vAlign w:val="center"/>
          </w:tcPr>
          <w:p>
            <w:pPr>
              <w:widowControl/>
              <w:jc w:val="center"/>
              <w:rPr>
                <w:b/>
                <w:bCs/>
                <w:color w:val="000000"/>
                <w:kern w:val="0"/>
                <w:sz w:val="22"/>
                <w:szCs w:val="22"/>
              </w:rPr>
            </w:pPr>
            <w:r>
              <w:rPr>
                <w:b/>
                <w:bCs/>
                <w:color w:val="000000"/>
                <w:kern w:val="0"/>
                <w:sz w:val="22"/>
                <w:szCs w:val="22"/>
              </w:rPr>
              <w:t>门诊</w:t>
            </w:r>
          </w:p>
        </w:tc>
        <w:tc>
          <w:tcPr>
            <w:tcW w:w="7796" w:type="dxa"/>
            <w:tcBorders>
              <w:top w:val="nil"/>
              <w:left w:val="nil"/>
              <w:bottom w:val="single" w:color="auto" w:sz="4" w:space="0"/>
              <w:right w:val="single" w:color="auto" w:sz="4" w:space="0"/>
            </w:tcBorders>
          </w:tcPr>
          <w:p>
            <w:pPr>
              <w:widowControl/>
              <w:jc w:val="left"/>
              <w:rPr>
                <w:color w:val="000000"/>
                <w:kern w:val="0"/>
                <w:sz w:val="22"/>
                <w:szCs w:val="22"/>
              </w:rPr>
            </w:pPr>
            <w:r>
              <w:rPr>
                <w:color w:val="000000"/>
                <w:kern w:val="0"/>
                <w:sz w:val="22"/>
                <w:szCs w:val="22"/>
              </w:rPr>
              <w:t xml:space="preserve">□是否配备与医疗机构执业证书登记门诊业务相应的医务人员。                                                  </w:t>
            </w:r>
          </w:p>
        </w:tc>
        <w:tc>
          <w:tcPr>
            <w:tcW w:w="850" w:type="dxa"/>
            <w:tcBorders>
              <w:top w:val="nil"/>
              <w:left w:val="nil"/>
              <w:bottom w:val="single" w:color="auto" w:sz="4" w:space="0"/>
              <w:right w:val="single" w:color="auto" w:sz="4" w:space="0"/>
            </w:tcBorders>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63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b/>
                <w:bCs/>
                <w:color w:val="000000"/>
                <w:kern w:val="0"/>
                <w:sz w:val="22"/>
                <w:szCs w:val="22"/>
              </w:rPr>
            </w:pPr>
          </w:p>
        </w:tc>
        <w:tc>
          <w:tcPr>
            <w:tcW w:w="1228" w:type="dxa"/>
            <w:tcBorders>
              <w:top w:val="nil"/>
              <w:left w:val="nil"/>
              <w:bottom w:val="single" w:color="auto" w:sz="4" w:space="0"/>
              <w:right w:val="single" w:color="auto" w:sz="4" w:space="0"/>
            </w:tcBorders>
            <w:vAlign w:val="center"/>
          </w:tcPr>
          <w:p>
            <w:pPr>
              <w:widowControl/>
              <w:jc w:val="center"/>
              <w:rPr>
                <w:b/>
                <w:bCs/>
                <w:color w:val="000000"/>
                <w:kern w:val="0"/>
                <w:sz w:val="22"/>
                <w:szCs w:val="22"/>
              </w:rPr>
            </w:pPr>
            <w:r>
              <w:rPr>
                <w:b/>
                <w:bCs/>
                <w:color w:val="000000"/>
                <w:kern w:val="0"/>
                <w:sz w:val="22"/>
                <w:szCs w:val="22"/>
              </w:rPr>
              <w:t>住院</w:t>
            </w:r>
          </w:p>
        </w:tc>
        <w:tc>
          <w:tcPr>
            <w:tcW w:w="7796" w:type="dxa"/>
            <w:tcBorders>
              <w:top w:val="nil"/>
              <w:left w:val="nil"/>
              <w:bottom w:val="single" w:color="auto" w:sz="4" w:space="0"/>
              <w:right w:val="single" w:color="auto" w:sz="4" w:space="0"/>
            </w:tcBorders>
          </w:tcPr>
          <w:p>
            <w:pPr>
              <w:widowControl/>
              <w:jc w:val="left"/>
              <w:rPr>
                <w:color w:val="000000"/>
                <w:kern w:val="0"/>
                <w:sz w:val="22"/>
                <w:szCs w:val="22"/>
              </w:rPr>
            </w:pPr>
            <w:r>
              <w:rPr>
                <w:color w:val="000000"/>
                <w:kern w:val="0"/>
                <w:sz w:val="22"/>
                <w:szCs w:val="22"/>
              </w:rPr>
              <w:t xml:space="preserve">□1、是否具备开展相应住院业务的基本条件（参照医疗机构设置基本条件）                                  </w:t>
            </w:r>
          </w:p>
          <w:p>
            <w:pPr>
              <w:widowControl/>
              <w:jc w:val="left"/>
              <w:rPr>
                <w:color w:val="000000"/>
                <w:kern w:val="0"/>
                <w:sz w:val="22"/>
                <w:szCs w:val="22"/>
              </w:rPr>
            </w:pPr>
            <w:r>
              <w:rPr>
                <w:color w:val="000000"/>
                <w:kern w:val="0"/>
                <w:sz w:val="22"/>
                <w:szCs w:val="22"/>
              </w:rPr>
              <w:t xml:space="preserve">□2、是否配有专门负责医保业务的专（兼）职工作人员，（二级以上需设专门科室）。                                 </w:t>
            </w:r>
          </w:p>
          <w:p>
            <w:pPr>
              <w:widowControl/>
              <w:jc w:val="left"/>
              <w:rPr>
                <w:color w:val="000000"/>
                <w:kern w:val="0"/>
                <w:sz w:val="22"/>
                <w:szCs w:val="22"/>
              </w:rPr>
            </w:pPr>
            <w:r>
              <w:rPr>
                <w:color w:val="000000"/>
                <w:kern w:val="0"/>
                <w:sz w:val="22"/>
                <w:szCs w:val="22"/>
              </w:rPr>
              <w:t xml:space="preserve">□3、医保政策、就医流程是否上墙公示，是否设置医保政策咨询台、投诉箱等。                                </w:t>
            </w:r>
          </w:p>
          <w:p>
            <w:pPr>
              <w:widowControl/>
              <w:jc w:val="left"/>
              <w:rPr>
                <w:color w:val="000000"/>
                <w:kern w:val="0"/>
                <w:sz w:val="22"/>
                <w:szCs w:val="22"/>
              </w:rPr>
            </w:pPr>
            <w:r>
              <w:rPr>
                <w:color w:val="000000"/>
                <w:kern w:val="0"/>
                <w:sz w:val="22"/>
                <w:szCs w:val="22"/>
              </w:rPr>
              <w:t>□4、是否建立完善的药品（医用材料）进销存管理系统。</w:t>
            </w:r>
          </w:p>
        </w:tc>
        <w:tc>
          <w:tcPr>
            <w:tcW w:w="850" w:type="dxa"/>
            <w:tcBorders>
              <w:top w:val="nil"/>
              <w:left w:val="nil"/>
              <w:bottom w:val="single" w:color="auto" w:sz="4" w:space="0"/>
              <w:right w:val="single" w:color="auto" w:sz="4" w:space="0"/>
            </w:tcBorders>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90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b/>
                <w:bCs/>
                <w:color w:val="000000"/>
                <w:kern w:val="0"/>
                <w:sz w:val="22"/>
                <w:szCs w:val="22"/>
              </w:rPr>
            </w:pPr>
          </w:p>
        </w:tc>
        <w:tc>
          <w:tcPr>
            <w:tcW w:w="1228" w:type="dxa"/>
            <w:tcBorders>
              <w:top w:val="nil"/>
              <w:left w:val="nil"/>
              <w:bottom w:val="single" w:color="auto" w:sz="4" w:space="0"/>
              <w:right w:val="single" w:color="auto" w:sz="4" w:space="0"/>
            </w:tcBorders>
            <w:vAlign w:val="center"/>
          </w:tcPr>
          <w:p>
            <w:pPr>
              <w:widowControl/>
              <w:jc w:val="center"/>
              <w:rPr>
                <w:b/>
                <w:bCs/>
                <w:color w:val="000000"/>
                <w:kern w:val="0"/>
                <w:sz w:val="22"/>
                <w:szCs w:val="22"/>
              </w:rPr>
            </w:pPr>
            <w:r>
              <w:rPr>
                <w:b/>
                <w:bCs/>
                <w:color w:val="000000"/>
                <w:kern w:val="0"/>
                <w:sz w:val="22"/>
                <w:szCs w:val="22"/>
              </w:rPr>
              <w:t>I类门诊特殊疾病</w:t>
            </w:r>
          </w:p>
        </w:tc>
        <w:tc>
          <w:tcPr>
            <w:tcW w:w="7796" w:type="dxa"/>
            <w:tcBorders>
              <w:top w:val="nil"/>
              <w:left w:val="nil"/>
              <w:bottom w:val="single" w:color="auto" w:sz="4" w:space="0"/>
              <w:right w:val="single" w:color="auto" w:sz="4" w:space="0"/>
            </w:tcBorders>
          </w:tcPr>
          <w:p>
            <w:pPr>
              <w:widowControl/>
              <w:jc w:val="left"/>
              <w:rPr>
                <w:color w:val="000000"/>
                <w:kern w:val="0"/>
                <w:sz w:val="22"/>
                <w:szCs w:val="22"/>
              </w:rPr>
            </w:pPr>
            <w:r>
              <w:rPr>
                <w:color w:val="000000"/>
                <w:kern w:val="0"/>
                <w:sz w:val="22"/>
                <w:szCs w:val="22"/>
              </w:rPr>
              <w:t>□1、是否具备开展I类门诊特殊疾病业务对应的科室、医护人员、设施设备及场地。</w:t>
            </w:r>
          </w:p>
          <w:p>
            <w:pPr>
              <w:widowControl/>
              <w:jc w:val="left"/>
              <w:rPr>
                <w:color w:val="000000"/>
                <w:kern w:val="0"/>
                <w:sz w:val="22"/>
                <w:szCs w:val="22"/>
              </w:rPr>
            </w:pPr>
            <w:r>
              <w:rPr>
                <w:color w:val="000000"/>
                <w:kern w:val="0"/>
                <w:sz w:val="22"/>
                <w:szCs w:val="22"/>
              </w:rPr>
              <w:t>□2、是否建立完善的药品（医用材料）进销存管理系统。</w:t>
            </w:r>
          </w:p>
        </w:tc>
        <w:tc>
          <w:tcPr>
            <w:tcW w:w="850" w:type="dxa"/>
            <w:tcBorders>
              <w:top w:val="nil"/>
              <w:left w:val="nil"/>
              <w:bottom w:val="single" w:color="auto" w:sz="4" w:space="0"/>
              <w:right w:val="single" w:color="auto" w:sz="4" w:space="0"/>
            </w:tcBorders>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90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b/>
                <w:bCs/>
                <w:color w:val="000000"/>
                <w:kern w:val="0"/>
                <w:sz w:val="22"/>
                <w:szCs w:val="22"/>
              </w:rPr>
            </w:pPr>
          </w:p>
        </w:tc>
        <w:tc>
          <w:tcPr>
            <w:tcW w:w="1228" w:type="dxa"/>
            <w:tcBorders>
              <w:top w:val="nil"/>
              <w:left w:val="nil"/>
              <w:bottom w:val="single" w:color="auto" w:sz="4" w:space="0"/>
              <w:right w:val="single" w:color="auto" w:sz="4" w:space="0"/>
            </w:tcBorders>
            <w:vAlign w:val="center"/>
          </w:tcPr>
          <w:p>
            <w:pPr>
              <w:widowControl/>
              <w:jc w:val="center"/>
              <w:rPr>
                <w:b/>
                <w:bCs/>
                <w:color w:val="000000"/>
                <w:kern w:val="0"/>
                <w:sz w:val="22"/>
                <w:szCs w:val="22"/>
              </w:rPr>
            </w:pPr>
            <w:r>
              <w:rPr>
                <w:b/>
                <w:bCs/>
                <w:color w:val="000000"/>
                <w:kern w:val="0"/>
                <w:sz w:val="22"/>
                <w:szCs w:val="22"/>
              </w:rPr>
              <w:t>II类门诊特殊疾病</w:t>
            </w:r>
          </w:p>
        </w:tc>
        <w:tc>
          <w:tcPr>
            <w:tcW w:w="7796" w:type="dxa"/>
            <w:tcBorders>
              <w:top w:val="nil"/>
              <w:left w:val="nil"/>
              <w:bottom w:val="single" w:color="auto" w:sz="4" w:space="0"/>
              <w:right w:val="single" w:color="auto" w:sz="4" w:space="0"/>
            </w:tcBorders>
          </w:tcPr>
          <w:p>
            <w:pPr>
              <w:widowControl/>
              <w:jc w:val="left"/>
              <w:rPr>
                <w:color w:val="000000"/>
                <w:kern w:val="0"/>
                <w:sz w:val="22"/>
                <w:szCs w:val="22"/>
              </w:rPr>
            </w:pPr>
            <w:r>
              <w:rPr>
                <w:color w:val="000000"/>
                <w:kern w:val="0"/>
                <w:sz w:val="22"/>
                <w:szCs w:val="22"/>
              </w:rPr>
              <w:t xml:space="preserve">□1、是否具备开展II类门诊特殊疾病业务对应的二级专业科室、医护人员、设施设备及场地。                    </w:t>
            </w:r>
            <w:r>
              <w:rPr>
                <w:color w:val="000000"/>
                <w:kern w:val="0"/>
                <w:sz w:val="22"/>
                <w:szCs w:val="22"/>
              </w:rPr>
              <w:br w:type="textWrapping"/>
            </w:r>
            <w:r>
              <w:rPr>
                <w:color w:val="000000"/>
                <w:kern w:val="0"/>
                <w:sz w:val="22"/>
                <w:szCs w:val="22"/>
              </w:rPr>
              <w:t>□2、是否建立完善的药品（医用材料）进销存管理系统。</w:t>
            </w:r>
          </w:p>
        </w:tc>
        <w:tc>
          <w:tcPr>
            <w:tcW w:w="850" w:type="dxa"/>
            <w:tcBorders>
              <w:top w:val="nil"/>
              <w:left w:val="nil"/>
              <w:bottom w:val="single" w:color="auto" w:sz="4" w:space="0"/>
              <w:right w:val="single" w:color="auto" w:sz="4" w:space="0"/>
            </w:tcBorders>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3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b/>
                <w:bCs/>
                <w:color w:val="000000"/>
                <w:kern w:val="0"/>
                <w:sz w:val="22"/>
                <w:szCs w:val="22"/>
              </w:rPr>
            </w:pPr>
          </w:p>
        </w:tc>
        <w:tc>
          <w:tcPr>
            <w:tcW w:w="1228" w:type="dxa"/>
            <w:tcBorders>
              <w:top w:val="nil"/>
              <w:left w:val="nil"/>
              <w:bottom w:val="single" w:color="auto" w:sz="4" w:space="0"/>
              <w:right w:val="single" w:color="auto" w:sz="4" w:space="0"/>
            </w:tcBorders>
            <w:vAlign w:val="center"/>
          </w:tcPr>
          <w:p>
            <w:pPr>
              <w:widowControl/>
              <w:jc w:val="center"/>
              <w:rPr>
                <w:b/>
                <w:bCs/>
                <w:color w:val="000000"/>
                <w:kern w:val="0"/>
                <w:sz w:val="22"/>
                <w:szCs w:val="22"/>
              </w:rPr>
            </w:pPr>
            <w:r>
              <w:rPr>
                <w:b/>
                <w:bCs/>
                <w:color w:val="000000"/>
                <w:kern w:val="0"/>
                <w:sz w:val="22"/>
                <w:szCs w:val="22"/>
              </w:rPr>
              <w:t>异地就医</w:t>
            </w:r>
          </w:p>
        </w:tc>
        <w:tc>
          <w:tcPr>
            <w:tcW w:w="7796" w:type="dxa"/>
            <w:tcBorders>
              <w:top w:val="nil"/>
              <w:left w:val="nil"/>
              <w:bottom w:val="single" w:color="auto" w:sz="4" w:space="0"/>
              <w:right w:val="single" w:color="auto" w:sz="4" w:space="0"/>
            </w:tcBorders>
            <w:vAlign w:val="center"/>
          </w:tcPr>
          <w:p>
            <w:pPr>
              <w:widowControl/>
              <w:jc w:val="left"/>
              <w:rPr>
                <w:color w:val="000000"/>
                <w:kern w:val="0"/>
                <w:sz w:val="22"/>
                <w:szCs w:val="22"/>
              </w:rPr>
            </w:pPr>
            <w:r>
              <w:rPr>
                <w:color w:val="000000"/>
                <w:kern w:val="0"/>
                <w:sz w:val="22"/>
                <w:szCs w:val="22"/>
              </w:rPr>
              <w:t>□是否具备开通异地就医条件。</w:t>
            </w:r>
          </w:p>
        </w:tc>
        <w:tc>
          <w:tcPr>
            <w:tcW w:w="850" w:type="dxa"/>
            <w:tcBorders>
              <w:top w:val="nil"/>
              <w:left w:val="nil"/>
              <w:bottom w:val="single" w:color="auto" w:sz="4" w:space="0"/>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44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b/>
                <w:bCs/>
                <w:color w:val="000000"/>
                <w:kern w:val="0"/>
                <w:sz w:val="22"/>
                <w:szCs w:val="22"/>
              </w:rPr>
            </w:pPr>
          </w:p>
        </w:tc>
        <w:tc>
          <w:tcPr>
            <w:tcW w:w="1228" w:type="dxa"/>
            <w:tcBorders>
              <w:top w:val="nil"/>
              <w:left w:val="nil"/>
              <w:bottom w:val="single" w:color="auto" w:sz="4" w:space="0"/>
              <w:right w:val="single" w:color="auto" w:sz="4" w:space="0"/>
            </w:tcBorders>
            <w:vAlign w:val="center"/>
          </w:tcPr>
          <w:p>
            <w:pPr>
              <w:widowControl/>
              <w:jc w:val="center"/>
              <w:rPr>
                <w:b/>
                <w:bCs/>
                <w:color w:val="000000"/>
                <w:kern w:val="0"/>
                <w:sz w:val="22"/>
                <w:szCs w:val="22"/>
              </w:rPr>
            </w:pPr>
            <w:r>
              <w:rPr>
                <w:b/>
                <w:bCs/>
                <w:color w:val="000000"/>
                <w:kern w:val="0"/>
                <w:sz w:val="22"/>
                <w:szCs w:val="22"/>
              </w:rPr>
              <w:t>生育保险</w:t>
            </w:r>
          </w:p>
        </w:tc>
        <w:tc>
          <w:tcPr>
            <w:tcW w:w="7796" w:type="dxa"/>
            <w:tcBorders>
              <w:top w:val="nil"/>
              <w:left w:val="nil"/>
              <w:bottom w:val="nil"/>
              <w:right w:val="single" w:color="auto" w:sz="4" w:space="0"/>
            </w:tcBorders>
          </w:tcPr>
          <w:p>
            <w:pPr>
              <w:widowControl/>
              <w:rPr>
                <w:color w:val="000000"/>
                <w:kern w:val="0"/>
                <w:sz w:val="22"/>
                <w:szCs w:val="22"/>
              </w:rPr>
            </w:pPr>
            <w:r>
              <w:rPr>
                <w:color w:val="000000"/>
                <w:kern w:val="0"/>
                <w:sz w:val="22"/>
                <w:szCs w:val="22"/>
              </w:rPr>
              <w:t>□是否具备收治产科病人的医疗服务条件。</w:t>
            </w:r>
          </w:p>
        </w:tc>
        <w:tc>
          <w:tcPr>
            <w:tcW w:w="850" w:type="dxa"/>
            <w:tcBorders>
              <w:top w:val="nil"/>
              <w:left w:val="nil"/>
              <w:bottom w:val="nil"/>
              <w:right w:val="single" w:color="auto" w:sz="4" w:space="0"/>
            </w:tcBorders>
          </w:tcPr>
          <w:p>
            <w:pPr>
              <w:widowControl/>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905" w:hRule="atLeast"/>
          <w:jc w:val="center"/>
        </w:trPr>
        <w:tc>
          <w:tcPr>
            <w:tcW w:w="16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2"/>
                <w:szCs w:val="22"/>
              </w:rPr>
            </w:pPr>
            <w:r>
              <w:rPr>
                <w:rFonts w:eastAsia="黑体"/>
                <w:color w:val="000000"/>
                <w:kern w:val="0"/>
                <w:sz w:val="22"/>
                <w:szCs w:val="22"/>
              </w:rPr>
              <w:t>医保经办机构评估意见</w:t>
            </w:r>
          </w:p>
        </w:tc>
        <w:tc>
          <w:tcPr>
            <w:tcW w:w="8646" w:type="dxa"/>
            <w:gridSpan w:val="2"/>
            <w:tcBorders>
              <w:top w:val="single" w:color="auto" w:sz="4" w:space="0"/>
              <w:left w:val="single" w:color="auto" w:sz="4" w:space="0"/>
              <w:bottom w:val="nil"/>
              <w:right w:val="single" w:color="000000" w:sz="4" w:space="0"/>
            </w:tcBorders>
          </w:tcPr>
          <w:p>
            <w:pPr>
              <w:widowControl/>
              <w:jc w:val="left"/>
              <w:rPr>
                <w:color w:val="000000"/>
                <w:kern w:val="0"/>
                <w:szCs w:val="21"/>
              </w:rPr>
            </w:pPr>
            <w:r>
              <w:rPr>
                <w:color w:val="000000"/>
                <w:kern w:val="0"/>
                <w:szCs w:val="21"/>
              </w:rPr>
              <w:t xml:space="preserve">经现场查看及综合评估，该医疗机构符合签订医保服务协议要求，同意开通以下医保业务：                              □ 普通门诊医疗服务           □城乡居民门诊统筹医疗服务     □住院医疗服务                □I类门诊特殊疾病医疗服务    □II类门诊特殊疾病医疗服务    □日间手术  </w:t>
            </w:r>
          </w:p>
          <w:p>
            <w:pPr>
              <w:widowControl/>
              <w:jc w:val="left"/>
              <w:rPr>
                <w:color w:val="000000"/>
                <w:kern w:val="0"/>
                <w:szCs w:val="21"/>
              </w:rPr>
            </w:pPr>
            <w:r>
              <w:rPr>
                <w:color w:val="000000"/>
                <w:kern w:val="0"/>
                <w:szCs w:val="21"/>
              </w:rPr>
              <w:t>□家庭医生签约服务           □疾病应急救助                 □异地就医</w:t>
            </w:r>
          </w:p>
          <w:p>
            <w:pPr>
              <w:widowControl/>
              <w:jc w:val="left"/>
              <w:rPr>
                <w:color w:val="000000"/>
                <w:kern w:val="0"/>
                <w:szCs w:val="21"/>
              </w:rPr>
            </w:pPr>
            <w:r>
              <w:rPr>
                <w:color w:val="000000"/>
                <w:kern w:val="0"/>
                <w:szCs w:val="21"/>
              </w:rPr>
              <w:t xml:space="preserve">□生育保险医疗服务 </w:t>
            </w:r>
          </w:p>
          <w:p>
            <w:pPr>
              <w:widowControl/>
              <w:jc w:val="left"/>
              <w:rPr>
                <w:color w:val="000000"/>
                <w:kern w:val="0"/>
                <w:szCs w:val="21"/>
              </w:rPr>
            </w:pPr>
            <w:r>
              <w:rPr>
                <w:color w:val="000000"/>
                <w:kern w:val="0"/>
                <w:szCs w:val="21"/>
              </w:rPr>
              <w:t xml:space="preserve">评估人员签名：     </w:t>
            </w:r>
          </w:p>
        </w:tc>
      </w:tr>
      <w:tr>
        <w:tblPrEx>
          <w:tblCellMar>
            <w:top w:w="0" w:type="dxa"/>
            <w:left w:w="108" w:type="dxa"/>
            <w:bottom w:w="0" w:type="dxa"/>
            <w:right w:w="108" w:type="dxa"/>
          </w:tblCellMar>
        </w:tblPrEx>
        <w:trPr>
          <w:trHeight w:val="230"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kern w:val="0"/>
                <w:sz w:val="22"/>
                <w:szCs w:val="22"/>
              </w:rPr>
            </w:pPr>
          </w:p>
        </w:tc>
        <w:tc>
          <w:tcPr>
            <w:tcW w:w="8646" w:type="dxa"/>
            <w:gridSpan w:val="2"/>
            <w:tcBorders>
              <w:top w:val="nil"/>
              <w:left w:val="single" w:color="auto" w:sz="4" w:space="0"/>
              <w:bottom w:val="single" w:color="auto" w:sz="4" w:space="0"/>
              <w:right w:val="single" w:color="000000" w:sz="4" w:space="0"/>
            </w:tcBorders>
          </w:tcPr>
          <w:p>
            <w:pPr>
              <w:widowControl/>
              <w:jc w:val="right"/>
              <w:rPr>
                <w:color w:val="000000"/>
                <w:kern w:val="0"/>
                <w:szCs w:val="21"/>
              </w:rPr>
            </w:pPr>
            <w:r>
              <w:rPr>
                <w:color w:val="000000"/>
                <w:kern w:val="0"/>
                <w:szCs w:val="21"/>
              </w:rPr>
              <w:t xml:space="preserve">                                                                                                                                   医保经办机构签章：          年    月     日</w:t>
            </w:r>
          </w:p>
        </w:tc>
      </w:tr>
      <w:tr>
        <w:tblPrEx>
          <w:tblCellMar>
            <w:top w:w="0" w:type="dxa"/>
            <w:left w:w="108" w:type="dxa"/>
            <w:bottom w:w="0" w:type="dxa"/>
            <w:right w:w="108" w:type="dxa"/>
          </w:tblCellMar>
        </w:tblPrEx>
        <w:trPr>
          <w:trHeight w:val="675" w:hRule="atLeast"/>
          <w:jc w:val="center"/>
        </w:trPr>
        <w:tc>
          <w:tcPr>
            <w:tcW w:w="10314" w:type="dxa"/>
            <w:gridSpan w:val="4"/>
            <w:tcBorders>
              <w:top w:val="single" w:color="auto" w:sz="4" w:space="0"/>
              <w:left w:val="nil"/>
              <w:bottom w:val="nil"/>
              <w:right w:val="nil"/>
            </w:tcBorders>
            <w:vAlign w:val="center"/>
          </w:tcPr>
          <w:p>
            <w:pPr>
              <w:widowControl/>
              <w:ind w:firstLine="440" w:firstLineChars="200"/>
              <w:jc w:val="left"/>
              <w:rPr>
                <w:color w:val="000000"/>
                <w:kern w:val="0"/>
                <w:sz w:val="22"/>
                <w:szCs w:val="22"/>
              </w:rPr>
            </w:pPr>
            <w:r>
              <w:rPr>
                <w:color w:val="000000"/>
                <w:kern w:val="0"/>
                <w:sz w:val="22"/>
                <w:szCs w:val="22"/>
              </w:rPr>
              <w:t xml:space="preserve">备注：现场检查内容为定点医疗机构申请签订服务协议的必要条件，其中任意一条不符合将暂停本次医疗机构评估签约 </w:t>
            </w:r>
          </w:p>
        </w:tc>
      </w:tr>
    </w:tbl>
    <w:p>
      <w:pPr>
        <w:rPr>
          <w:rFonts w:eastAsia="黑体"/>
          <w:sz w:val="32"/>
          <w:szCs w:val="32"/>
        </w:rPr>
      </w:pPr>
    </w:p>
    <w:p>
      <w:pPr>
        <w:rPr>
          <w:rFonts w:eastAsia="黑体"/>
          <w:sz w:val="32"/>
          <w:szCs w:val="32"/>
        </w:rPr>
      </w:pPr>
    </w:p>
    <w:p>
      <w:pPr>
        <w:rPr>
          <w:rFonts w:eastAsia="黑体"/>
          <w:sz w:val="32"/>
          <w:szCs w:val="32"/>
        </w:rPr>
      </w:pPr>
      <w:r>
        <w:rPr>
          <w:rFonts w:eastAsia="黑体"/>
          <w:sz w:val="32"/>
          <w:szCs w:val="32"/>
        </w:rPr>
        <w:t>附件4</w:t>
      </w:r>
    </w:p>
    <w:p>
      <w:pPr>
        <w:jc w:val="center"/>
        <w:rPr>
          <w:rFonts w:eastAsia="方正小标宋简体"/>
          <w:sz w:val="44"/>
          <w:szCs w:val="44"/>
        </w:rPr>
      </w:pPr>
      <w:r>
        <w:rPr>
          <w:rFonts w:eastAsia="方正小标宋简体"/>
          <w:sz w:val="44"/>
          <w:szCs w:val="44"/>
        </w:rPr>
        <w:t>眉山市医疗保障定点零售药店检查评估表</w:t>
      </w:r>
    </w:p>
    <w:tbl>
      <w:tblPr>
        <w:tblStyle w:val="5"/>
        <w:tblW w:w="9980" w:type="dxa"/>
        <w:jc w:val="center"/>
        <w:tblLayout w:type="autofit"/>
        <w:tblCellMar>
          <w:top w:w="0" w:type="dxa"/>
          <w:left w:w="108" w:type="dxa"/>
          <w:bottom w:w="0" w:type="dxa"/>
          <w:right w:w="108" w:type="dxa"/>
        </w:tblCellMar>
      </w:tblPr>
      <w:tblGrid>
        <w:gridCol w:w="440"/>
        <w:gridCol w:w="1140"/>
        <w:gridCol w:w="7280"/>
        <w:gridCol w:w="1120"/>
      </w:tblGrid>
      <w:tr>
        <w:tblPrEx>
          <w:tblCellMar>
            <w:top w:w="0" w:type="dxa"/>
            <w:left w:w="108" w:type="dxa"/>
            <w:bottom w:w="0" w:type="dxa"/>
            <w:right w:w="108" w:type="dxa"/>
          </w:tblCellMar>
        </w:tblPrEx>
        <w:trPr>
          <w:trHeight w:val="645" w:hRule="atLeast"/>
          <w:jc w:val="center"/>
        </w:trPr>
        <w:tc>
          <w:tcPr>
            <w:tcW w:w="9980" w:type="dxa"/>
            <w:gridSpan w:val="4"/>
            <w:noWrap/>
            <w:vAlign w:val="center"/>
          </w:tcPr>
          <w:p>
            <w:pPr>
              <w:widowControl/>
              <w:jc w:val="left"/>
              <w:rPr>
                <w:rFonts w:eastAsiaTheme="minorEastAsia"/>
                <w:color w:val="000000"/>
                <w:kern w:val="0"/>
                <w:sz w:val="32"/>
                <w:szCs w:val="32"/>
              </w:rPr>
            </w:pPr>
            <w:r>
              <w:rPr>
                <w:rFonts w:eastAsiaTheme="minorEastAsia"/>
                <w:color w:val="000000"/>
                <w:kern w:val="0"/>
                <w:sz w:val="32"/>
                <w:szCs w:val="32"/>
              </w:rPr>
              <w:t>零售药店名称：</w:t>
            </w:r>
          </w:p>
        </w:tc>
      </w:tr>
      <w:tr>
        <w:tblPrEx>
          <w:tblCellMar>
            <w:top w:w="0" w:type="dxa"/>
            <w:left w:w="108" w:type="dxa"/>
            <w:bottom w:w="0" w:type="dxa"/>
            <w:right w:w="108" w:type="dxa"/>
          </w:tblCellMar>
        </w:tblPrEx>
        <w:trPr>
          <w:trHeight w:val="464" w:hRule="atLeast"/>
          <w:jc w:val="center"/>
        </w:trPr>
        <w:tc>
          <w:tcPr>
            <w:tcW w:w="15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8"/>
                <w:szCs w:val="28"/>
              </w:rPr>
            </w:pPr>
            <w:r>
              <w:rPr>
                <w:rFonts w:eastAsia="黑体"/>
                <w:color w:val="000000"/>
                <w:kern w:val="0"/>
                <w:sz w:val="28"/>
                <w:szCs w:val="28"/>
              </w:rPr>
              <w:t>项目</w:t>
            </w:r>
          </w:p>
        </w:tc>
        <w:tc>
          <w:tcPr>
            <w:tcW w:w="7280" w:type="dxa"/>
            <w:tcBorders>
              <w:top w:val="single" w:color="auto" w:sz="4" w:space="0"/>
              <w:left w:val="nil"/>
              <w:bottom w:val="nil"/>
              <w:right w:val="single" w:color="auto" w:sz="4" w:space="0"/>
            </w:tcBorders>
            <w:vAlign w:val="center"/>
          </w:tcPr>
          <w:p>
            <w:pPr>
              <w:widowControl/>
              <w:ind w:firstLine="560" w:firstLineChars="200"/>
              <w:jc w:val="center"/>
              <w:rPr>
                <w:rFonts w:eastAsia="黑体"/>
                <w:color w:val="000000"/>
                <w:kern w:val="0"/>
                <w:sz w:val="28"/>
                <w:szCs w:val="28"/>
              </w:rPr>
            </w:pPr>
            <w:r>
              <w:rPr>
                <w:rFonts w:eastAsia="黑体"/>
                <w:color w:val="000000"/>
                <w:kern w:val="0"/>
                <w:sz w:val="28"/>
                <w:szCs w:val="28"/>
              </w:rPr>
              <w:t>检查内容</w:t>
            </w:r>
          </w:p>
        </w:tc>
        <w:tc>
          <w:tcPr>
            <w:tcW w:w="1120" w:type="dxa"/>
            <w:tcBorders>
              <w:top w:val="single" w:color="auto" w:sz="8" w:space="0"/>
              <w:left w:val="single" w:color="auto" w:sz="8" w:space="0"/>
              <w:bottom w:val="nil"/>
              <w:right w:val="single" w:color="auto" w:sz="8" w:space="0"/>
            </w:tcBorders>
            <w:vAlign w:val="center"/>
          </w:tcPr>
          <w:p>
            <w:pPr>
              <w:widowControl/>
              <w:jc w:val="center"/>
              <w:rPr>
                <w:rFonts w:eastAsia="黑体"/>
                <w:color w:val="000000"/>
                <w:kern w:val="0"/>
                <w:sz w:val="28"/>
                <w:szCs w:val="28"/>
              </w:rPr>
            </w:pPr>
            <w:r>
              <w:rPr>
                <w:rFonts w:eastAsia="黑体"/>
                <w:color w:val="000000"/>
                <w:kern w:val="0"/>
                <w:sz w:val="28"/>
                <w:szCs w:val="28"/>
              </w:rPr>
              <w:t>备注</w:t>
            </w:r>
          </w:p>
        </w:tc>
      </w:tr>
      <w:tr>
        <w:tblPrEx>
          <w:tblCellMar>
            <w:top w:w="0" w:type="dxa"/>
            <w:left w:w="108" w:type="dxa"/>
            <w:bottom w:w="0" w:type="dxa"/>
            <w:right w:w="108" w:type="dxa"/>
          </w:tblCellMar>
        </w:tblPrEx>
        <w:trPr>
          <w:trHeight w:val="1785" w:hRule="atLeast"/>
          <w:jc w:val="center"/>
        </w:trPr>
        <w:tc>
          <w:tcPr>
            <w:tcW w:w="1580" w:type="dxa"/>
            <w:gridSpan w:val="2"/>
            <w:vMerge w:val="restart"/>
            <w:tcBorders>
              <w:top w:val="single" w:color="auto" w:sz="4" w:space="0"/>
              <w:left w:val="single" w:color="auto" w:sz="4" w:space="0"/>
              <w:bottom w:val="single" w:color="000000" w:sz="4" w:space="0"/>
              <w:right w:val="nil"/>
            </w:tcBorders>
            <w:textDirection w:val="tbRlV"/>
            <w:vAlign w:val="center"/>
          </w:tcPr>
          <w:p>
            <w:pPr>
              <w:widowControl/>
              <w:jc w:val="center"/>
              <w:rPr>
                <w:rFonts w:eastAsia="黑体"/>
                <w:color w:val="000000"/>
                <w:kern w:val="0"/>
                <w:sz w:val="22"/>
                <w:szCs w:val="22"/>
              </w:rPr>
            </w:pPr>
            <w:r>
              <w:rPr>
                <w:rFonts w:eastAsia="黑体"/>
                <w:color w:val="000000"/>
                <w:kern w:val="0"/>
                <w:sz w:val="22"/>
                <w:szCs w:val="22"/>
              </w:rPr>
              <w:t>现场检查</w:t>
            </w:r>
          </w:p>
        </w:tc>
        <w:tc>
          <w:tcPr>
            <w:tcW w:w="7280" w:type="dxa"/>
            <w:tcBorders>
              <w:top w:val="single" w:color="auto" w:sz="4" w:space="0"/>
              <w:left w:val="single" w:color="auto" w:sz="4" w:space="0"/>
              <w:bottom w:val="nil"/>
              <w:right w:val="single" w:color="auto" w:sz="4" w:space="0"/>
            </w:tcBorders>
          </w:tcPr>
          <w:p>
            <w:pPr>
              <w:widowControl/>
              <w:jc w:val="left"/>
              <w:rPr>
                <w:color w:val="000000"/>
                <w:kern w:val="0"/>
                <w:sz w:val="22"/>
                <w:szCs w:val="22"/>
              </w:rPr>
            </w:pPr>
            <w:r>
              <w:rPr>
                <w:color w:val="000000"/>
                <w:kern w:val="0"/>
                <w:sz w:val="22"/>
                <w:szCs w:val="22"/>
              </w:rPr>
              <w:t>□1、按定点医药机构经办规程要求提供的申报资料与实际是否吻合。                               □2、是否有健全的进销存管理制度。                                                □3、信息系统是否能满足医保经办机构管理需要。                                       □4、是否存在因严重违约行为，被终止医保服务协议未满三年的。</w:t>
            </w:r>
          </w:p>
        </w:tc>
        <w:tc>
          <w:tcPr>
            <w:tcW w:w="1120" w:type="dxa"/>
            <w:vMerge w:val="restart"/>
            <w:tcBorders>
              <w:top w:val="single" w:color="auto" w:sz="4" w:space="0"/>
              <w:left w:val="single" w:color="auto" w:sz="4" w:space="0"/>
              <w:bottom w:val="single" w:color="000000" w:sz="4" w:space="0"/>
              <w:right w:val="single" w:color="auto" w:sz="4" w:space="0"/>
            </w:tcBorders>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451" w:hRule="atLeast"/>
          <w:jc w:val="center"/>
        </w:trPr>
        <w:tc>
          <w:tcPr>
            <w:tcW w:w="0" w:type="auto"/>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黑体"/>
                <w:color w:val="000000"/>
                <w:kern w:val="0"/>
                <w:sz w:val="22"/>
                <w:szCs w:val="22"/>
              </w:rPr>
            </w:pPr>
          </w:p>
        </w:tc>
        <w:tc>
          <w:tcPr>
            <w:tcW w:w="7280" w:type="dxa"/>
            <w:tcBorders>
              <w:top w:val="nil"/>
              <w:left w:val="single" w:color="auto" w:sz="4" w:space="0"/>
              <w:bottom w:val="single" w:color="auto" w:sz="4" w:space="0"/>
              <w:right w:val="single" w:color="auto" w:sz="4" w:space="0"/>
            </w:tcBorders>
          </w:tcPr>
          <w:p>
            <w:pPr>
              <w:widowControl/>
              <w:jc w:val="left"/>
              <w:rPr>
                <w:color w:val="000000"/>
                <w:kern w:val="0"/>
                <w:sz w:val="22"/>
                <w:szCs w:val="22"/>
              </w:rPr>
            </w:pPr>
            <w:r>
              <w:rPr>
                <w:color w:val="000000"/>
                <w:kern w:val="0"/>
                <w:sz w:val="22"/>
                <w:szCs w:val="22"/>
              </w:rPr>
              <w:t xml:space="preserve">                                           检查人员签名：</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1408" w:hRule="atLeast"/>
          <w:jc w:val="center"/>
        </w:trPr>
        <w:tc>
          <w:tcPr>
            <w:tcW w:w="440" w:type="dxa"/>
            <w:vMerge w:val="restart"/>
            <w:tcBorders>
              <w:top w:val="nil"/>
              <w:left w:val="single" w:color="auto" w:sz="4" w:space="0"/>
              <w:bottom w:val="single" w:color="auto" w:sz="4" w:space="0"/>
              <w:right w:val="single" w:color="auto" w:sz="4" w:space="0"/>
            </w:tcBorders>
            <w:vAlign w:val="center"/>
          </w:tcPr>
          <w:p>
            <w:pPr>
              <w:widowControl/>
              <w:jc w:val="center"/>
              <w:rPr>
                <w:b/>
                <w:bCs/>
                <w:color w:val="000000"/>
                <w:kern w:val="0"/>
                <w:sz w:val="22"/>
                <w:szCs w:val="22"/>
              </w:rPr>
            </w:pPr>
            <w:r>
              <w:rPr>
                <w:b/>
                <w:bCs/>
                <w:color w:val="000000"/>
                <w:kern w:val="0"/>
                <w:sz w:val="22"/>
                <w:szCs w:val="22"/>
              </w:rPr>
              <w:t>申      请      服      务      内      容  评 估</w:t>
            </w:r>
          </w:p>
        </w:tc>
        <w:tc>
          <w:tcPr>
            <w:tcW w:w="1140" w:type="dxa"/>
            <w:tcBorders>
              <w:top w:val="nil"/>
              <w:left w:val="nil"/>
              <w:bottom w:val="single" w:color="auto" w:sz="4" w:space="0"/>
              <w:right w:val="single" w:color="auto" w:sz="4" w:space="0"/>
            </w:tcBorders>
            <w:vAlign w:val="center"/>
          </w:tcPr>
          <w:p>
            <w:pPr>
              <w:widowControl/>
              <w:jc w:val="left"/>
              <w:rPr>
                <w:b/>
                <w:bCs/>
                <w:color w:val="000000"/>
                <w:kern w:val="0"/>
                <w:sz w:val="22"/>
                <w:szCs w:val="22"/>
              </w:rPr>
            </w:pPr>
            <w:r>
              <w:rPr>
                <w:b/>
                <w:bCs/>
                <w:color w:val="000000"/>
                <w:kern w:val="0"/>
                <w:sz w:val="22"/>
                <w:szCs w:val="22"/>
              </w:rPr>
              <w:t>职工医保门诊购药服务</w:t>
            </w:r>
          </w:p>
        </w:tc>
        <w:tc>
          <w:tcPr>
            <w:tcW w:w="7280" w:type="dxa"/>
            <w:tcBorders>
              <w:top w:val="nil"/>
              <w:left w:val="nil"/>
              <w:bottom w:val="single" w:color="auto" w:sz="4" w:space="0"/>
              <w:right w:val="single" w:color="auto" w:sz="4" w:space="0"/>
            </w:tcBorders>
          </w:tcPr>
          <w:p>
            <w:pPr>
              <w:widowControl/>
              <w:jc w:val="left"/>
              <w:rPr>
                <w:color w:val="000000"/>
                <w:kern w:val="0"/>
                <w:sz w:val="22"/>
                <w:szCs w:val="22"/>
              </w:rPr>
            </w:pPr>
            <w:r>
              <w:rPr>
                <w:color w:val="000000"/>
                <w:kern w:val="0"/>
                <w:sz w:val="22"/>
                <w:szCs w:val="22"/>
              </w:rPr>
              <w:t xml:space="preserve">□是否具备开展职工医保门诊购药业务的药师、营业员。                                                  </w:t>
            </w:r>
          </w:p>
        </w:tc>
        <w:tc>
          <w:tcPr>
            <w:tcW w:w="1120" w:type="dxa"/>
            <w:tcBorders>
              <w:top w:val="nil"/>
              <w:left w:val="nil"/>
              <w:bottom w:val="single" w:color="auto" w:sz="4" w:space="0"/>
              <w:right w:val="single" w:color="auto" w:sz="4" w:space="0"/>
            </w:tcBorders>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55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22"/>
                <w:szCs w:val="22"/>
              </w:rPr>
            </w:pPr>
          </w:p>
        </w:tc>
        <w:tc>
          <w:tcPr>
            <w:tcW w:w="1140" w:type="dxa"/>
            <w:tcBorders>
              <w:top w:val="nil"/>
              <w:left w:val="nil"/>
              <w:bottom w:val="single" w:color="auto" w:sz="4" w:space="0"/>
              <w:right w:val="single" w:color="auto" w:sz="4" w:space="0"/>
            </w:tcBorders>
            <w:vAlign w:val="center"/>
          </w:tcPr>
          <w:p>
            <w:pPr>
              <w:widowControl/>
              <w:jc w:val="left"/>
              <w:rPr>
                <w:b/>
                <w:bCs/>
                <w:color w:val="000000"/>
                <w:kern w:val="0"/>
                <w:sz w:val="22"/>
                <w:szCs w:val="22"/>
              </w:rPr>
            </w:pPr>
            <w:r>
              <w:rPr>
                <w:b/>
                <w:bCs/>
                <w:color w:val="000000"/>
                <w:kern w:val="0"/>
                <w:sz w:val="22"/>
                <w:szCs w:val="22"/>
              </w:rPr>
              <w:t>职工医保I类门诊特殊疾病购药服务</w:t>
            </w:r>
          </w:p>
        </w:tc>
        <w:tc>
          <w:tcPr>
            <w:tcW w:w="7280" w:type="dxa"/>
            <w:tcBorders>
              <w:top w:val="nil"/>
              <w:left w:val="nil"/>
              <w:bottom w:val="single" w:color="auto" w:sz="4" w:space="0"/>
              <w:right w:val="single" w:color="auto" w:sz="4" w:space="0"/>
            </w:tcBorders>
          </w:tcPr>
          <w:p>
            <w:pPr>
              <w:widowControl/>
              <w:jc w:val="left"/>
              <w:rPr>
                <w:color w:val="000000"/>
                <w:kern w:val="0"/>
                <w:sz w:val="22"/>
                <w:szCs w:val="22"/>
              </w:rPr>
            </w:pPr>
            <w:r>
              <w:rPr>
                <w:color w:val="000000"/>
                <w:kern w:val="0"/>
                <w:sz w:val="22"/>
                <w:szCs w:val="22"/>
              </w:rPr>
              <w:t>□1、是否具备开展门诊特殊疾病业务所需的医师、驻店药师及营业员。                      □2、是否配有专（兼）医保管理人员。                                              □3、是否建立完善的药品（医用材料）进销存管理系统。                                  □4、经营药品是否达2000种以上（不含中草药），I类门诊特殊疾病药品备药率是否达80%以上。</w:t>
            </w:r>
          </w:p>
        </w:tc>
        <w:tc>
          <w:tcPr>
            <w:tcW w:w="1120" w:type="dxa"/>
            <w:tcBorders>
              <w:top w:val="nil"/>
              <w:left w:val="nil"/>
              <w:bottom w:val="single" w:color="auto" w:sz="4" w:space="0"/>
              <w:right w:val="single" w:color="auto" w:sz="4" w:space="0"/>
            </w:tcBorders>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96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22"/>
                <w:szCs w:val="22"/>
              </w:rPr>
            </w:pPr>
          </w:p>
        </w:tc>
        <w:tc>
          <w:tcPr>
            <w:tcW w:w="1140" w:type="dxa"/>
            <w:tcBorders>
              <w:top w:val="nil"/>
              <w:left w:val="nil"/>
              <w:bottom w:val="single" w:color="auto" w:sz="4" w:space="0"/>
              <w:right w:val="single" w:color="auto" w:sz="4" w:space="0"/>
            </w:tcBorders>
            <w:vAlign w:val="center"/>
          </w:tcPr>
          <w:p>
            <w:pPr>
              <w:widowControl/>
              <w:jc w:val="left"/>
              <w:rPr>
                <w:b/>
                <w:bCs/>
                <w:color w:val="000000"/>
                <w:kern w:val="0"/>
                <w:sz w:val="22"/>
                <w:szCs w:val="22"/>
              </w:rPr>
            </w:pPr>
            <w:r>
              <w:rPr>
                <w:b/>
                <w:bCs/>
                <w:color w:val="000000"/>
                <w:kern w:val="0"/>
                <w:sz w:val="22"/>
                <w:szCs w:val="22"/>
              </w:rPr>
              <w:t>异地就医</w:t>
            </w:r>
          </w:p>
        </w:tc>
        <w:tc>
          <w:tcPr>
            <w:tcW w:w="7280"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□是否具备开通异地就医条件。</w:t>
            </w:r>
          </w:p>
        </w:tc>
        <w:tc>
          <w:tcPr>
            <w:tcW w:w="1120" w:type="dxa"/>
            <w:tcBorders>
              <w:top w:val="nil"/>
              <w:left w:val="nil"/>
              <w:bottom w:val="single" w:color="auto" w:sz="4" w:space="0"/>
              <w:right w:val="single" w:color="auto" w:sz="4" w:space="0"/>
            </w:tcBorders>
          </w:tcPr>
          <w:p>
            <w:pPr>
              <w:widowControl/>
              <w:jc w:val="left"/>
              <w:rPr>
                <w:color w:val="000000"/>
                <w:kern w:val="0"/>
                <w:szCs w:val="21"/>
              </w:rPr>
            </w:pPr>
          </w:p>
        </w:tc>
      </w:tr>
      <w:tr>
        <w:tblPrEx>
          <w:tblCellMar>
            <w:top w:w="0" w:type="dxa"/>
            <w:left w:w="108" w:type="dxa"/>
            <w:bottom w:w="0" w:type="dxa"/>
            <w:right w:w="108" w:type="dxa"/>
          </w:tblCellMar>
        </w:tblPrEx>
        <w:trPr>
          <w:trHeight w:val="1080" w:hRule="atLeast"/>
          <w:jc w:val="center"/>
        </w:trPr>
        <w:tc>
          <w:tcPr>
            <w:tcW w:w="15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color w:val="000000"/>
                <w:kern w:val="0"/>
                <w:sz w:val="22"/>
                <w:szCs w:val="22"/>
              </w:rPr>
            </w:pPr>
            <w:r>
              <w:rPr>
                <w:rFonts w:eastAsia="黑体"/>
                <w:color w:val="000000"/>
                <w:kern w:val="0"/>
                <w:sz w:val="22"/>
                <w:szCs w:val="22"/>
              </w:rPr>
              <w:t>医保经办机构评估意见</w:t>
            </w:r>
          </w:p>
        </w:tc>
        <w:tc>
          <w:tcPr>
            <w:tcW w:w="8400" w:type="dxa"/>
            <w:gridSpan w:val="2"/>
            <w:tcBorders>
              <w:top w:val="single" w:color="auto" w:sz="4" w:space="0"/>
              <w:left w:val="single" w:color="auto" w:sz="4" w:space="0"/>
              <w:bottom w:val="nil"/>
              <w:right w:val="single" w:color="000000" w:sz="4" w:space="0"/>
            </w:tcBorders>
          </w:tcPr>
          <w:p>
            <w:pPr>
              <w:widowControl/>
              <w:jc w:val="left"/>
              <w:rPr>
                <w:color w:val="000000"/>
                <w:kern w:val="0"/>
                <w:szCs w:val="21"/>
              </w:rPr>
            </w:pPr>
            <w:r>
              <w:rPr>
                <w:color w:val="000000"/>
                <w:kern w:val="0"/>
                <w:szCs w:val="21"/>
              </w:rPr>
              <w:t>经现场查看及综合评估，该零售药店符合签订医保服务协议要求，同意开通以下医保业务：                              □1、职工医保门诊购药服务              □2、职工医保I类门诊特殊疾病购药服务</w:t>
            </w:r>
          </w:p>
          <w:p>
            <w:pPr>
              <w:widowControl/>
              <w:jc w:val="left"/>
              <w:rPr>
                <w:color w:val="000000"/>
                <w:kern w:val="0"/>
                <w:szCs w:val="21"/>
              </w:rPr>
            </w:pPr>
            <w:r>
              <w:rPr>
                <w:color w:val="000000"/>
                <w:kern w:val="0"/>
                <w:sz w:val="22"/>
                <w:szCs w:val="22"/>
              </w:rPr>
              <w:t>□3、异地就医</w:t>
            </w:r>
          </w:p>
        </w:tc>
      </w:tr>
      <w:tr>
        <w:tblPrEx>
          <w:tblCellMar>
            <w:top w:w="0" w:type="dxa"/>
            <w:left w:w="108" w:type="dxa"/>
            <w:bottom w:w="0" w:type="dxa"/>
            <w:right w:w="108" w:type="dxa"/>
          </w:tblCellMar>
        </w:tblPrEx>
        <w:trPr>
          <w:trHeight w:val="1035"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kern w:val="0"/>
                <w:sz w:val="22"/>
                <w:szCs w:val="22"/>
              </w:rPr>
            </w:pPr>
          </w:p>
        </w:tc>
        <w:tc>
          <w:tcPr>
            <w:tcW w:w="7280" w:type="dxa"/>
            <w:tcBorders>
              <w:top w:val="nil"/>
              <w:left w:val="single" w:color="auto" w:sz="4" w:space="0"/>
              <w:bottom w:val="nil"/>
              <w:right w:val="nil"/>
            </w:tcBorders>
          </w:tcPr>
          <w:p>
            <w:pPr>
              <w:widowControl/>
              <w:jc w:val="left"/>
              <w:rPr>
                <w:color w:val="000000"/>
                <w:kern w:val="0"/>
                <w:szCs w:val="21"/>
              </w:rPr>
            </w:pPr>
            <w:r>
              <w:rPr>
                <w:color w:val="000000"/>
                <w:kern w:val="0"/>
                <w:szCs w:val="21"/>
              </w:rPr>
              <w:t>评估人员签字：</w:t>
            </w:r>
          </w:p>
        </w:tc>
        <w:tc>
          <w:tcPr>
            <w:tcW w:w="1120" w:type="dxa"/>
            <w:tcBorders>
              <w:top w:val="nil"/>
              <w:left w:val="nil"/>
              <w:bottom w:val="nil"/>
              <w:right w:val="single" w:color="auto" w:sz="4" w:space="0"/>
            </w:tcBorders>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26"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color w:val="000000"/>
                <w:kern w:val="0"/>
                <w:sz w:val="22"/>
                <w:szCs w:val="22"/>
              </w:rPr>
            </w:pPr>
          </w:p>
        </w:tc>
        <w:tc>
          <w:tcPr>
            <w:tcW w:w="8400" w:type="dxa"/>
            <w:gridSpan w:val="2"/>
            <w:tcBorders>
              <w:top w:val="nil"/>
              <w:left w:val="single" w:color="auto" w:sz="4" w:space="0"/>
              <w:bottom w:val="single" w:color="auto" w:sz="4" w:space="0"/>
              <w:right w:val="single" w:color="000000" w:sz="4" w:space="0"/>
            </w:tcBorders>
          </w:tcPr>
          <w:p>
            <w:pPr>
              <w:widowControl/>
              <w:jc w:val="right"/>
              <w:rPr>
                <w:color w:val="000000"/>
                <w:kern w:val="0"/>
                <w:szCs w:val="21"/>
              </w:rPr>
            </w:pPr>
            <w:r>
              <w:rPr>
                <w:color w:val="000000"/>
                <w:kern w:val="0"/>
                <w:szCs w:val="21"/>
              </w:rPr>
              <w:t xml:space="preserve">                                                                                                        医保经办机构签章：            年    月   日</w:t>
            </w:r>
          </w:p>
        </w:tc>
      </w:tr>
      <w:tr>
        <w:tblPrEx>
          <w:tblCellMar>
            <w:top w:w="0" w:type="dxa"/>
            <w:left w:w="108" w:type="dxa"/>
            <w:bottom w:w="0" w:type="dxa"/>
            <w:right w:w="108" w:type="dxa"/>
          </w:tblCellMar>
        </w:tblPrEx>
        <w:trPr>
          <w:trHeight w:val="675" w:hRule="atLeast"/>
          <w:jc w:val="center"/>
        </w:trPr>
        <w:tc>
          <w:tcPr>
            <w:tcW w:w="9980" w:type="dxa"/>
            <w:gridSpan w:val="4"/>
            <w:tcBorders>
              <w:top w:val="single" w:color="auto" w:sz="4" w:space="0"/>
              <w:left w:val="nil"/>
              <w:bottom w:val="nil"/>
              <w:right w:val="nil"/>
            </w:tcBorders>
            <w:vAlign w:val="center"/>
          </w:tcPr>
          <w:p>
            <w:pPr>
              <w:widowControl/>
              <w:ind w:firstLine="440" w:firstLineChars="200"/>
              <w:jc w:val="left"/>
              <w:rPr>
                <w:color w:val="000000"/>
                <w:kern w:val="0"/>
                <w:sz w:val="22"/>
                <w:szCs w:val="22"/>
              </w:rPr>
            </w:pPr>
            <w:r>
              <w:rPr>
                <w:color w:val="000000"/>
                <w:kern w:val="0"/>
                <w:sz w:val="22"/>
                <w:szCs w:val="22"/>
              </w:rPr>
              <w:t>备注：现场检查内容为定点零售药店申请签订服务协议的必要条件，其中任意一条不符合将取消本次零售药店评估签约。</w:t>
            </w:r>
          </w:p>
        </w:tc>
      </w:tr>
    </w:tbl>
    <w:p>
      <w:pPr>
        <w:widowControl/>
        <w:jc w:val="left"/>
        <w:rPr>
          <w:rFonts w:eastAsia="黑体"/>
          <w:sz w:val="32"/>
          <w:szCs w:val="32"/>
        </w:rPr>
        <w:sectPr>
          <w:footerReference r:id="rId3" w:type="default"/>
          <w:footerReference r:id="rId4" w:type="even"/>
          <w:pgSz w:w="11906" w:h="16838"/>
          <w:pgMar w:top="2098" w:right="1474" w:bottom="1928" w:left="1588" w:header="851" w:footer="992" w:gutter="0"/>
          <w:cols w:space="720" w:num="1"/>
          <w:docGrid w:type="lines" w:linePitch="312" w:charSpace="0"/>
        </w:sectPr>
      </w:pPr>
    </w:p>
    <w:p>
      <w:pPr>
        <w:rPr>
          <w:rFonts w:eastAsia="黑体"/>
          <w:sz w:val="32"/>
          <w:szCs w:val="32"/>
        </w:rPr>
      </w:pPr>
      <w:r>
        <w:rPr>
          <w:rFonts w:eastAsia="黑体"/>
          <w:sz w:val="32"/>
          <w:szCs w:val="32"/>
        </w:rPr>
        <w:t>附件5</w:t>
      </w:r>
    </w:p>
    <w:p>
      <w:pPr>
        <w:jc w:val="center"/>
        <w:rPr>
          <w:rFonts w:eastAsia="方正小标宋简体"/>
          <w:sz w:val="44"/>
          <w:szCs w:val="44"/>
        </w:rPr>
      </w:pPr>
      <w:r>
        <w:rPr>
          <w:rFonts w:eastAsia="方正小标宋简体"/>
          <w:sz w:val="44"/>
          <w:szCs w:val="44"/>
        </w:rPr>
        <w:t>眉山市医疗保障定点医疗机构备案表</w:t>
      </w:r>
    </w:p>
    <w:tbl>
      <w:tblPr>
        <w:tblStyle w:val="5"/>
        <w:tblW w:w="14956" w:type="dxa"/>
        <w:jc w:val="center"/>
        <w:tblLayout w:type="autofit"/>
        <w:tblCellMar>
          <w:top w:w="0" w:type="dxa"/>
          <w:left w:w="108" w:type="dxa"/>
          <w:bottom w:w="0" w:type="dxa"/>
          <w:right w:w="108" w:type="dxa"/>
        </w:tblCellMar>
      </w:tblPr>
      <w:tblGrid>
        <w:gridCol w:w="854"/>
        <w:gridCol w:w="2054"/>
        <w:gridCol w:w="1297"/>
        <w:gridCol w:w="971"/>
        <w:gridCol w:w="1147"/>
        <w:gridCol w:w="1676"/>
        <w:gridCol w:w="1468"/>
        <w:gridCol w:w="966"/>
        <w:gridCol w:w="1263"/>
        <w:gridCol w:w="1276"/>
        <w:gridCol w:w="1984"/>
      </w:tblGrid>
      <w:tr>
        <w:tblPrEx>
          <w:tblCellMar>
            <w:top w:w="0" w:type="dxa"/>
            <w:left w:w="108" w:type="dxa"/>
            <w:bottom w:w="0" w:type="dxa"/>
            <w:right w:w="108" w:type="dxa"/>
          </w:tblCellMar>
        </w:tblPrEx>
        <w:trPr>
          <w:trHeight w:val="480" w:hRule="atLeast"/>
          <w:jc w:val="center"/>
        </w:trPr>
        <w:tc>
          <w:tcPr>
            <w:tcW w:w="14956" w:type="dxa"/>
            <w:gridSpan w:val="11"/>
            <w:tcBorders>
              <w:top w:val="nil"/>
              <w:left w:val="nil"/>
              <w:bottom w:val="single" w:color="auto" w:sz="4" w:space="0"/>
              <w:right w:val="nil"/>
            </w:tcBorders>
            <w:noWrap/>
            <w:vAlign w:val="center"/>
          </w:tcPr>
          <w:p>
            <w:pPr>
              <w:widowControl/>
              <w:jc w:val="left"/>
              <w:rPr>
                <w:kern w:val="0"/>
                <w:sz w:val="28"/>
                <w:szCs w:val="28"/>
              </w:rPr>
            </w:pPr>
            <w:r>
              <w:rPr>
                <w:kern w:val="0"/>
                <w:sz w:val="28"/>
                <w:szCs w:val="28"/>
              </w:rPr>
              <w:t>填报单位：（盖章）                                                       填报日期：</w:t>
            </w:r>
          </w:p>
        </w:tc>
      </w:tr>
      <w:tr>
        <w:tblPrEx>
          <w:tblCellMar>
            <w:top w:w="0" w:type="dxa"/>
            <w:left w:w="108" w:type="dxa"/>
            <w:bottom w:w="0" w:type="dxa"/>
            <w:right w:w="108" w:type="dxa"/>
          </w:tblCellMar>
        </w:tblPrEx>
        <w:trPr>
          <w:trHeight w:val="645" w:hRule="atLeast"/>
          <w:jc w:val="center"/>
        </w:trPr>
        <w:tc>
          <w:tcPr>
            <w:tcW w:w="854" w:type="dxa"/>
            <w:tcBorders>
              <w:top w:val="nil"/>
              <w:left w:val="single" w:color="auto" w:sz="4" w:space="0"/>
              <w:bottom w:val="single" w:color="auto" w:sz="4" w:space="0"/>
              <w:right w:val="single" w:color="auto" w:sz="4" w:space="0"/>
            </w:tcBorders>
            <w:noWrap/>
            <w:vAlign w:val="center"/>
          </w:tcPr>
          <w:p>
            <w:pPr>
              <w:widowControl/>
              <w:jc w:val="center"/>
              <w:rPr>
                <w:rFonts w:eastAsia="黑体"/>
                <w:kern w:val="0"/>
                <w:sz w:val="24"/>
              </w:rPr>
            </w:pPr>
            <w:r>
              <w:rPr>
                <w:rFonts w:eastAsia="黑体"/>
                <w:kern w:val="0"/>
                <w:sz w:val="24"/>
              </w:rPr>
              <w:t>序号</w:t>
            </w:r>
          </w:p>
        </w:tc>
        <w:tc>
          <w:tcPr>
            <w:tcW w:w="2054" w:type="dxa"/>
            <w:tcBorders>
              <w:top w:val="nil"/>
              <w:left w:val="nil"/>
              <w:bottom w:val="single" w:color="auto" w:sz="4" w:space="0"/>
              <w:right w:val="single" w:color="auto" w:sz="4" w:space="0"/>
            </w:tcBorders>
            <w:noWrap/>
            <w:vAlign w:val="center"/>
          </w:tcPr>
          <w:p>
            <w:pPr>
              <w:widowControl/>
              <w:jc w:val="center"/>
              <w:rPr>
                <w:rFonts w:eastAsia="黑体"/>
                <w:kern w:val="0"/>
                <w:sz w:val="24"/>
              </w:rPr>
            </w:pPr>
            <w:r>
              <w:rPr>
                <w:rFonts w:eastAsia="黑体"/>
                <w:kern w:val="0"/>
                <w:sz w:val="24"/>
              </w:rPr>
              <w:t>医疗机构名称</w:t>
            </w:r>
          </w:p>
        </w:tc>
        <w:tc>
          <w:tcPr>
            <w:tcW w:w="1297" w:type="dxa"/>
            <w:tcBorders>
              <w:top w:val="nil"/>
              <w:left w:val="nil"/>
              <w:bottom w:val="single" w:color="auto" w:sz="4" w:space="0"/>
              <w:right w:val="single" w:color="auto" w:sz="4" w:space="0"/>
            </w:tcBorders>
            <w:noWrap/>
            <w:vAlign w:val="center"/>
          </w:tcPr>
          <w:p>
            <w:pPr>
              <w:widowControl/>
              <w:jc w:val="center"/>
              <w:rPr>
                <w:rFonts w:eastAsia="黑体"/>
                <w:kern w:val="0"/>
                <w:sz w:val="24"/>
              </w:rPr>
            </w:pPr>
            <w:r>
              <w:rPr>
                <w:rFonts w:eastAsia="黑体"/>
                <w:kern w:val="0"/>
                <w:sz w:val="24"/>
              </w:rPr>
              <w:t>地址</w:t>
            </w:r>
          </w:p>
        </w:tc>
        <w:tc>
          <w:tcPr>
            <w:tcW w:w="971" w:type="dxa"/>
            <w:tcBorders>
              <w:top w:val="nil"/>
              <w:left w:val="nil"/>
              <w:bottom w:val="single" w:color="auto" w:sz="4" w:space="0"/>
              <w:right w:val="single" w:color="auto" w:sz="4" w:space="0"/>
            </w:tcBorders>
            <w:noWrap/>
            <w:vAlign w:val="center"/>
          </w:tcPr>
          <w:p>
            <w:pPr>
              <w:widowControl/>
              <w:jc w:val="center"/>
              <w:rPr>
                <w:rFonts w:eastAsia="黑体"/>
                <w:kern w:val="0"/>
                <w:sz w:val="24"/>
              </w:rPr>
            </w:pPr>
            <w:r>
              <w:rPr>
                <w:rFonts w:eastAsia="黑体"/>
                <w:kern w:val="0"/>
                <w:sz w:val="24"/>
              </w:rPr>
              <w:t>等级</w:t>
            </w:r>
          </w:p>
        </w:tc>
        <w:tc>
          <w:tcPr>
            <w:tcW w:w="1147" w:type="dxa"/>
            <w:tcBorders>
              <w:top w:val="nil"/>
              <w:left w:val="nil"/>
              <w:bottom w:val="single" w:color="auto" w:sz="4" w:space="0"/>
              <w:right w:val="single" w:color="auto" w:sz="4" w:space="0"/>
            </w:tcBorders>
            <w:noWrap/>
            <w:vAlign w:val="center"/>
          </w:tcPr>
          <w:p>
            <w:pPr>
              <w:widowControl/>
              <w:jc w:val="center"/>
              <w:rPr>
                <w:rFonts w:eastAsia="黑体"/>
                <w:kern w:val="0"/>
                <w:sz w:val="24"/>
              </w:rPr>
            </w:pPr>
            <w:r>
              <w:rPr>
                <w:rFonts w:eastAsia="黑体"/>
                <w:kern w:val="0"/>
                <w:sz w:val="24"/>
              </w:rPr>
              <w:t>床位数</w:t>
            </w:r>
          </w:p>
        </w:tc>
        <w:tc>
          <w:tcPr>
            <w:tcW w:w="1676" w:type="dxa"/>
            <w:tcBorders>
              <w:top w:val="nil"/>
              <w:left w:val="nil"/>
              <w:bottom w:val="single" w:color="auto" w:sz="4" w:space="0"/>
              <w:right w:val="single" w:color="auto" w:sz="4" w:space="0"/>
            </w:tcBorders>
            <w:noWrap/>
            <w:vAlign w:val="center"/>
          </w:tcPr>
          <w:p>
            <w:pPr>
              <w:widowControl/>
              <w:jc w:val="center"/>
              <w:rPr>
                <w:rFonts w:eastAsia="黑体"/>
                <w:kern w:val="0"/>
                <w:sz w:val="24"/>
              </w:rPr>
            </w:pPr>
            <w:r>
              <w:rPr>
                <w:rFonts w:eastAsia="黑体"/>
                <w:kern w:val="0"/>
                <w:sz w:val="24"/>
              </w:rPr>
              <w:t>服务内容</w:t>
            </w:r>
          </w:p>
        </w:tc>
        <w:tc>
          <w:tcPr>
            <w:tcW w:w="1468" w:type="dxa"/>
            <w:tcBorders>
              <w:top w:val="nil"/>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所有制类型</w:t>
            </w:r>
          </w:p>
        </w:tc>
        <w:tc>
          <w:tcPr>
            <w:tcW w:w="966" w:type="dxa"/>
            <w:tcBorders>
              <w:top w:val="nil"/>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 xml:space="preserve">性质       </w:t>
            </w:r>
          </w:p>
        </w:tc>
        <w:tc>
          <w:tcPr>
            <w:tcW w:w="1263" w:type="dxa"/>
            <w:tcBorders>
              <w:top w:val="nil"/>
              <w:left w:val="nil"/>
              <w:bottom w:val="single" w:color="auto" w:sz="4" w:space="0"/>
              <w:right w:val="single" w:color="auto" w:sz="4" w:space="0"/>
            </w:tcBorders>
            <w:vAlign w:val="center"/>
          </w:tcPr>
          <w:p>
            <w:pPr>
              <w:widowControl/>
              <w:jc w:val="center"/>
              <w:rPr>
                <w:rFonts w:eastAsia="黑体"/>
                <w:kern w:val="0"/>
                <w:sz w:val="24"/>
              </w:rPr>
            </w:pPr>
            <w:r>
              <w:rPr>
                <w:rFonts w:eastAsia="黑体"/>
                <w:kern w:val="0"/>
                <w:sz w:val="24"/>
              </w:rPr>
              <w:t xml:space="preserve">类别  </w:t>
            </w:r>
          </w:p>
        </w:tc>
        <w:tc>
          <w:tcPr>
            <w:tcW w:w="1276" w:type="dxa"/>
            <w:tcBorders>
              <w:top w:val="nil"/>
              <w:left w:val="nil"/>
              <w:bottom w:val="single" w:color="auto" w:sz="4" w:space="0"/>
              <w:right w:val="single" w:color="auto" w:sz="4" w:space="0"/>
            </w:tcBorders>
            <w:noWrap/>
            <w:vAlign w:val="center"/>
          </w:tcPr>
          <w:p>
            <w:pPr>
              <w:widowControl/>
              <w:jc w:val="center"/>
              <w:rPr>
                <w:rFonts w:eastAsia="黑体"/>
                <w:kern w:val="0"/>
                <w:sz w:val="24"/>
              </w:rPr>
            </w:pPr>
            <w:r>
              <w:rPr>
                <w:rFonts w:eastAsia="黑体"/>
                <w:kern w:val="0"/>
                <w:sz w:val="24"/>
              </w:rPr>
              <w:t>负责人</w:t>
            </w:r>
          </w:p>
        </w:tc>
        <w:tc>
          <w:tcPr>
            <w:tcW w:w="1984" w:type="dxa"/>
            <w:tcBorders>
              <w:top w:val="nil"/>
              <w:left w:val="nil"/>
              <w:bottom w:val="single" w:color="auto" w:sz="4" w:space="0"/>
              <w:right w:val="single" w:color="auto" w:sz="4" w:space="0"/>
            </w:tcBorders>
            <w:noWrap/>
            <w:vAlign w:val="center"/>
          </w:tcPr>
          <w:p>
            <w:pPr>
              <w:widowControl/>
              <w:jc w:val="center"/>
              <w:rPr>
                <w:rFonts w:eastAsia="黑体"/>
                <w:kern w:val="0"/>
                <w:sz w:val="24"/>
              </w:rPr>
            </w:pPr>
            <w:r>
              <w:rPr>
                <w:rFonts w:eastAsia="黑体"/>
                <w:kern w:val="0"/>
                <w:sz w:val="24"/>
              </w:rPr>
              <w:t>联系电话</w:t>
            </w:r>
          </w:p>
        </w:tc>
      </w:tr>
      <w:tr>
        <w:tblPrEx>
          <w:tblCellMar>
            <w:top w:w="0" w:type="dxa"/>
            <w:left w:w="108" w:type="dxa"/>
            <w:bottom w:w="0" w:type="dxa"/>
            <w:right w:w="108" w:type="dxa"/>
          </w:tblCellMar>
        </w:tblPrEx>
        <w:trPr>
          <w:trHeight w:val="263" w:hRule="atLeast"/>
          <w:jc w:val="center"/>
        </w:trPr>
        <w:tc>
          <w:tcPr>
            <w:tcW w:w="85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054" w:type="dxa"/>
            <w:tcBorders>
              <w:top w:val="nil"/>
              <w:left w:val="nil"/>
              <w:bottom w:val="single" w:color="auto" w:sz="4" w:space="0"/>
              <w:right w:val="single" w:color="auto" w:sz="4" w:space="0"/>
            </w:tcBorders>
            <w:noWrap/>
            <w:vAlign w:val="center"/>
          </w:tcPr>
          <w:p>
            <w:pPr>
              <w:widowControl/>
              <w:jc w:val="left"/>
              <w:rPr>
                <w:kern w:val="0"/>
                <w:sz w:val="24"/>
              </w:rPr>
            </w:pPr>
          </w:p>
        </w:tc>
        <w:tc>
          <w:tcPr>
            <w:tcW w:w="1297" w:type="dxa"/>
            <w:tcBorders>
              <w:top w:val="nil"/>
              <w:left w:val="nil"/>
              <w:bottom w:val="single" w:color="auto" w:sz="4" w:space="0"/>
              <w:right w:val="single" w:color="auto" w:sz="4" w:space="0"/>
            </w:tcBorders>
            <w:noWrap/>
            <w:vAlign w:val="center"/>
          </w:tcPr>
          <w:p>
            <w:pPr>
              <w:widowControl/>
              <w:jc w:val="left"/>
              <w:rPr>
                <w:kern w:val="0"/>
                <w:sz w:val="24"/>
              </w:rPr>
            </w:pPr>
          </w:p>
        </w:tc>
        <w:tc>
          <w:tcPr>
            <w:tcW w:w="971" w:type="dxa"/>
            <w:tcBorders>
              <w:top w:val="nil"/>
              <w:left w:val="nil"/>
              <w:bottom w:val="single" w:color="auto" w:sz="4" w:space="0"/>
              <w:right w:val="single" w:color="auto" w:sz="4" w:space="0"/>
            </w:tcBorders>
            <w:noWrap/>
            <w:vAlign w:val="center"/>
          </w:tcPr>
          <w:p>
            <w:pPr>
              <w:widowControl/>
              <w:jc w:val="left"/>
              <w:rPr>
                <w:kern w:val="0"/>
                <w:sz w:val="24"/>
              </w:rPr>
            </w:pPr>
          </w:p>
        </w:tc>
        <w:tc>
          <w:tcPr>
            <w:tcW w:w="1147" w:type="dxa"/>
            <w:tcBorders>
              <w:top w:val="nil"/>
              <w:left w:val="nil"/>
              <w:bottom w:val="single" w:color="auto" w:sz="4" w:space="0"/>
              <w:right w:val="single" w:color="auto" w:sz="4" w:space="0"/>
            </w:tcBorders>
            <w:noWrap/>
            <w:vAlign w:val="center"/>
          </w:tcPr>
          <w:p>
            <w:pPr>
              <w:widowControl/>
              <w:jc w:val="left"/>
              <w:rPr>
                <w:kern w:val="0"/>
                <w:sz w:val="24"/>
              </w:rPr>
            </w:pPr>
          </w:p>
        </w:tc>
        <w:tc>
          <w:tcPr>
            <w:tcW w:w="1676" w:type="dxa"/>
            <w:tcBorders>
              <w:top w:val="nil"/>
              <w:left w:val="nil"/>
              <w:bottom w:val="single" w:color="auto" w:sz="4" w:space="0"/>
              <w:right w:val="single" w:color="auto" w:sz="4" w:space="0"/>
            </w:tcBorders>
            <w:noWrap/>
            <w:vAlign w:val="center"/>
          </w:tcPr>
          <w:p>
            <w:pPr>
              <w:widowControl/>
              <w:jc w:val="left"/>
              <w:rPr>
                <w:kern w:val="0"/>
                <w:sz w:val="24"/>
              </w:rPr>
            </w:pPr>
          </w:p>
        </w:tc>
        <w:tc>
          <w:tcPr>
            <w:tcW w:w="1468" w:type="dxa"/>
            <w:tcBorders>
              <w:top w:val="nil"/>
              <w:left w:val="nil"/>
              <w:bottom w:val="single" w:color="auto" w:sz="4" w:space="0"/>
              <w:right w:val="single" w:color="auto" w:sz="4" w:space="0"/>
            </w:tcBorders>
            <w:vAlign w:val="center"/>
          </w:tcPr>
          <w:p>
            <w:pPr>
              <w:widowControl/>
              <w:jc w:val="left"/>
              <w:rPr>
                <w:kern w:val="0"/>
                <w:sz w:val="24"/>
              </w:rPr>
            </w:pPr>
          </w:p>
        </w:tc>
        <w:tc>
          <w:tcPr>
            <w:tcW w:w="966" w:type="dxa"/>
            <w:tcBorders>
              <w:top w:val="nil"/>
              <w:left w:val="nil"/>
              <w:bottom w:val="single" w:color="auto" w:sz="4" w:space="0"/>
              <w:right w:val="single" w:color="auto" w:sz="4" w:space="0"/>
            </w:tcBorders>
            <w:vAlign w:val="center"/>
          </w:tcPr>
          <w:p>
            <w:pPr>
              <w:widowControl/>
              <w:jc w:val="left"/>
              <w:rPr>
                <w:kern w:val="0"/>
                <w:sz w:val="24"/>
              </w:rPr>
            </w:pPr>
          </w:p>
        </w:tc>
        <w:tc>
          <w:tcPr>
            <w:tcW w:w="1263" w:type="dxa"/>
            <w:tcBorders>
              <w:top w:val="nil"/>
              <w:left w:val="nil"/>
              <w:bottom w:val="single" w:color="auto" w:sz="4" w:space="0"/>
              <w:right w:val="single" w:color="auto" w:sz="4" w:space="0"/>
            </w:tcBorders>
            <w:vAlign w:val="center"/>
          </w:tcPr>
          <w:p>
            <w:pPr>
              <w:widowControl/>
              <w:jc w:val="left"/>
              <w:rPr>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kern w:val="0"/>
                <w:sz w:val="24"/>
              </w:rPr>
            </w:pPr>
          </w:p>
        </w:tc>
        <w:tc>
          <w:tcPr>
            <w:tcW w:w="1984"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283" w:hRule="atLeast"/>
          <w:jc w:val="center"/>
        </w:trPr>
        <w:tc>
          <w:tcPr>
            <w:tcW w:w="85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054" w:type="dxa"/>
            <w:tcBorders>
              <w:top w:val="nil"/>
              <w:left w:val="nil"/>
              <w:bottom w:val="single" w:color="auto" w:sz="4" w:space="0"/>
              <w:right w:val="single" w:color="auto" w:sz="4" w:space="0"/>
            </w:tcBorders>
            <w:noWrap/>
            <w:vAlign w:val="center"/>
          </w:tcPr>
          <w:p>
            <w:pPr>
              <w:widowControl/>
              <w:jc w:val="left"/>
              <w:rPr>
                <w:kern w:val="0"/>
                <w:sz w:val="24"/>
              </w:rPr>
            </w:pPr>
          </w:p>
        </w:tc>
        <w:tc>
          <w:tcPr>
            <w:tcW w:w="1297" w:type="dxa"/>
            <w:tcBorders>
              <w:top w:val="nil"/>
              <w:left w:val="nil"/>
              <w:bottom w:val="single" w:color="auto" w:sz="4" w:space="0"/>
              <w:right w:val="single" w:color="auto" w:sz="4" w:space="0"/>
            </w:tcBorders>
            <w:noWrap/>
            <w:vAlign w:val="center"/>
          </w:tcPr>
          <w:p>
            <w:pPr>
              <w:widowControl/>
              <w:jc w:val="left"/>
              <w:rPr>
                <w:kern w:val="0"/>
                <w:sz w:val="24"/>
              </w:rPr>
            </w:pPr>
          </w:p>
        </w:tc>
        <w:tc>
          <w:tcPr>
            <w:tcW w:w="971" w:type="dxa"/>
            <w:tcBorders>
              <w:top w:val="nil"/>
              <w:left w:val="nil"/>
              <w:bottom w:val="single" w:color="auto" w:sz="4" w:space="0"/>
              <w:right w:val="single" w:color="auto" w:sz="4" w:space="0"/>
            </w:tcBorders>
            <w:noWrap/>
            <w:vAlign w:val="center"/>
          </w:tcPr>
          <w:p>
            <w:pPr>
              <w:widowControl/>
              <w:jc w:val="left"/>
              <w:rPr>
                <w:kern w:val="0"/>
                <w:sz w:val="24"/>
              </w:rPr>
            </w:pPr>
          </w:p>
        </w:tc>
        <w:tc>
          <w:tcPr>
            <w:tcW w:w="1147" w:type="dxa"/>
            <w:tcBorders>
              <w:top w:val="nil"/>
              <w:left w:val="nil"/>
              <w:bottom w:val="single" w:color="auto" w:sz="4" w:space="0"/>
              <w:right w:val="single" w:color="auto" w:sz="4" w:space="0"/>
            </w:tcBorders>
            <w:noWrap/>
            <w:vAlign w:val="center"/>
          </w:tcPr>
          <w:p>
            <w:pPr>
              <w:widowControl/>
              <w:jc w:val="left"/>
              <w:rPr>
                <w:kern w:val="0"/>
                <w:sz w:val="24"/>
              </w:rPr>
            </w:pPr>
          </w:p>
        </w:tc>
        <w:tc>
          <w:tcPr>
            <w:tcW w:w="1676" w:type="dxa"/>
            <w:tcBorders>
              <w:top w:val="nil"/>
              <w:left w:val="nil"/>
              <w:bottom w:val="single" w:color="auto" w:sz="4" w:space="0"/>
              <w:right w:val="single" w:color="auto" w:sz="4" w:space="0"/>
            </w:tcBorders>
            <w:noWrap/>
            <w:vAlign w:val="center"/>
          </w:tcPr>
          <w:p>
            <w:pPr>
              <w:widowControl/>
              <w:jc w:val="left"/>
              <w:rPr>
                <w:kern w:val="0"/>
                <w:sz w:val="24"/>
              </w:rPr>
            </w:pPr>
          </w:p>
        </w:tc>
        <w:tc>
          <w:tcPr>
            <w:tcW w:w="1468" w:type="dxa"/>
            <w:tcBorders>
              <w:top w:val="nil"/>
              <w:left w:val="nil"/>
              <w:bottom w:val="single" w:color="auto" w:sz="4" w:space="0"/>
              <w:right w:val="single" w:color="auto" w:sz="4" w:space="0"/>
            </w:tcBorders>
            <w:vAlign w:val="center"/>
          </w:tcPr>
          <w:p>
            <w:pPr>
              <w:widowControl/>
              <w:jc w:val="left"/>
              <w:rPr>
                <w:kern w:val="0"/>
                <w:sz w:val="24"/>
              </w:rPr>
            </w:pPr>
          </w:p>
        </w:tc>
        <w:tc>
          <w:tcPr>
            <w:tcW w:w="966" w:type="dxa"/>
            <w:tcBorders>
              <w:top w:val="nil"/>
              <w:left w:val="nil"/>
              <w:bottom w:val="single" w:color="auto" w:sz="4" w:space="0"/>
              <w:right w:val="single" w:color="auto" w:sz="4" w:space="0"/>
            </w:tcBorders>
            <w:vAlign w:val="center"/>
          </w:tcPr>
          <w:p>
            <w:pPr>
              <w:widowControl/>
              <w:jc w:val="left"/>
              <w:rPr>
                <w:kern w:val="0"/>
                <w:sz w:val="24"/>
              </w:rPr>
            </w:pPr>
          </w:p>
        </w:tc>
        <w:tc>
          <w:tcPr>
            <w:tcW w:w="1263" w:type="dxa"/>
            <w:tcBorders>
              <w:top w:val="nil"/>
              <w:left w:val="nil"/>
              <w:bottom w:val="single" w:color="auto" w:sz="4" w:space="0"/>
              <w:right w:val="single" w:color="auto" w:sz="4" w:space="0"/>
            </w:tcBorders>
            <w:vAlign w:val="center"/>
          </w:tcPr>
          <w:p>
            <w:pPr>
              <w:widowControl/>
              <w:jc w:val="left"/>
              <w:rPr>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kern w:val="0"/>
                <w:sz w:val="24"/>
              </w:rPr>
            </w:pPr>
          </w:p>
        </w:tc>
        <w:tc>
          <w:tcPr>
            <w:tcW w:w="1984"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104" w:hRule="atLeast"/>
          <w:jc w:val="center"/>
        </w:trPr>
        <w:tc>
          <w:tcPr>
            <w:tcW w:w="85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054" w:type="dxa"/>
            <w:tcBorders>
              <w:top w:val="nil"/>
              <w:left w:val="nil"/>
              <w:bottom w:val="single" w:color="auto" w:sz="4" w:space="0"/>
              <w:right w:val="single" w:color="auto" w:sz="4" w:space="0"/>
            </w:tcBorders>
            <w:noWrap/>
            <w:vAlign w:val="center"/>
          </w:tcPr>
          <w:p>
            <w:pPr>
              <w:widowControl/>
              <w:jc w:val="left"/>
              <w:rPr>
                <w:kern w:val="0"/>
                <w:sz w:val="24"/>
              </w:rPr>
            </w:pPr>
          </w:p>
        </w:tc>
        <w:tc>
          <w:tcPr>
            <w:tcW w:w="1297" w:type="dxa"/>
            <w:tcBorders>
              <w:top w:val="nil"/>
              <w:left w:val="nil"/>
              <w:bottom w:val="single" w:color="auto" w:sz="4" w:space="0"/>
              <w:right w:val="single" w:color="auto" w:sz="4" w:space="0"/>
            </w:tcBorders>
            <w:noWrap/>
            <w:vAlign w:val="center"/>
          </w:tcPr>
          <w:p>
            <w:pPr>
              <w:widowControl/>
              <w:jc w:val="left"/>
              <w:rPr>
                <w:kern w:val="0"/>
                <w:sz w:val="24"/>
              </w:rPr>
            </w:pPr>
          </w:p>
        </w:tc>
        <w:tc>
          <w:tcPr>
            <w:tcW w:w="971" w:type="dxa"/>
            <w:tcBorders>
              <w:top w:val="nil"/>
              <w:left w:val="nil"/>
              <w:bottom w:val="single" w:color="auto" w:sz="4" w:space="0"/>
              <w:right w:val="single" w:color="auto" w:sz="4" w:space="0"/>
            </w:tcBorders>
            <w:noWrap/>
            <w:vAlign w:val="center"/>
          </w:tcPr>
          <w:p>
            <w:pPr>
              <w:widowControl/>
              <w:jc w:val="left"/>
              <w:rPr>
                <w:kern w:val="0"/>
                <w:sz w:val="24"/>
              </w:rPr>
            </w:pPr>
          </w:p>
        </w:tc>
        <w:tc>
          <w:tcPr>
            <w:tcW w:w="1147" w:type="dxa"/>
            <w:tcBorders>
              <w:top w:val="nil"/>
              <w:left w:val="nil"/>
              <w:bottom w:val="single" w:color="auto" w:sz="4" w:space="0"/>
              <w:right w:val="single" w:color="auto" w:sz="4" w:space="0"/>
            </w:tcBorders>
            <w:noWrap/>
            <w:vAlign w:val="center"/>
          </w:tcPr>
          <w:p>
            <w:pPr>
              <w:widowControl/>
              <w:jc w:val="left"/>
              <w:rPr>
                <w:kern w:val="0"/>
                <w:sz w:val="24"/>
              </w:rPr>
            </w:pPr>
          </w:p>
        </w:tc>
        <w:tc>
          <w:tcPr>
            <w:tcW w:w="1676" w:type="dxa"/>
            <w:tcBorders>
              <w:top w:val="nil"/>
              <w:left w:val="nil"/>
              <w:bottom w:val="single" w:color="auto" w:sz="4" w:space="0"/>
              <w:right w:val="single" w:color="auto" w:sz="4" w:space="0"/>
            </w:tcBorders>
            <w:noWrap/>
            <w:vAlign w:val="center"/>
          </w:tcPr>
          <w:p>
            <w:pPr>
              <w:widowControl/>
              <w:jc w:val="left"/>
              <w:rPr>
                <w:kern w:val="0"/>
                <w:sz w:val="24"/>
              </w:rPr>
            </w:pPr>
          </w:p>
        </w:tc>
        <w:tc>
          <w:tcPr>
            <w:tcW w:w="1468" w:type="dxa"/>
            <w:tcBorders>
              <w:top w:val="nil"/>
              <w:left w:val="nil"/>
              <w:bottom w:val="single" w:color="auto" w:sz="4" w:space="0"/>
              <w:right w:val="single" w:color="auto" w:sz="4" w:space="0"/>
            </w:tcBorders>
            <w:vAlign w:val="center"/>
          </w:tcPr>
          <w:p>
            <w:pPr>
              <w:widowControl/>
              <w:jc w:val="left"/>
              <w:rPr>
                <w:kern w:val="0"/>
                <w:sz w:val="24"/>
              </w:rPr>
            </w:pPr>
          </w:p>
        </w:tc>
        <w:tc>
          <w:tcPr>
            <w:tcW w:w="966" w:type="dxa"/>
            <w:tcBorders>
              <w:top w:val="nil"/>
              <w:left w:val="nil"/>
              <w:bottom w:val="single" w:color="auto" w:sz="4" w:space="0"/>
              <w:right w:val="single" w:color="auto" w:sz="4" w:space="0"/>
            </w:tcBorders>
            <w:vAlign w:val="center"/>
          </w:tcPr>
          <w:p>
            <w:pPr>
              <w:widowControl/>
              <w:jc w:val="left"/>
              <w:rPr>
                <w:kern w:val="0"/>
                <w:sz w:val="24"/>
              </w:rPr>
            </w:pPr>
          </w:p>
        </w:tc>
        <w:tc>
          <w:tcPr>
            <w:tcW w:w="1263" w:type="dxa"/>
            <w:tcBorders>
              <w:top w:val="nil"/>
              <w:left w:val="nil"/>
              <w:bottom w:val="single" w:color="auto" w:sz="4" w:space="0"/>
              <w:right w:val="single" w:color="auto" w:sz="4" w:space="0"/>
            </w:tcBorders>
            <w:vAlign w:val="center"/>
          </w:tcPr>
          <w:p>
            <w:pPr>
              <w:widowControl/>
              <w:jc w:val="left"/>
              <w:rPr>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kern w:val="0"/>
                <w:sz w:val="24"/>
              </w:rPr>
            </w:pPr>
          </w:p>
        </w:tc>
        <w:tc>
          <w:tcPr>
            <w:tcW w:w="1984"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193" w:hRule="atLeast"/>
          <w:jc w:val="center"/>
        </w:trPr>
        <w:tc>
          <w:tcPr>
            <w:tcW w:w="85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054" w:type="dxa"/>
            <w:tcBorders>
              <w:top w:val="nil"/>
              <w:left w:val="nil"/>
              <w:bottom w:val="single" w:color="auto" w:sz="4" w:space="0"/>
              <w:right w:val="single" w:color="auto" w:sz="4" w:space="0"/>
            </w:tcBorders>
            <w:noWrap/>
            <w:vAlign w:val="center"/>
          </w:tcPr>
          <w:p>
            <w:pPr>
              <w:widowControl/>
              <w:jc w:val="left"/>
              <w:rPr>
                <w:kern w:val="0"/>
                <w:sz w:val="24"/>
              </w:rPr>
            </w:pPr>
          </w:p>
        </w:tc>
        <w:tc>
          <w:tcPr>
            <w:tcW w:w="1297" w:type="dxa"/>
            <w:tcBorders>
              <w:top w:val="nil"/>
              <w:left w:val="nil"/>
              <w:bottom w:val="single" w:color="auto" w:sz="4" w:space="0"/>
              <w:right w:val="single" w:color="auto" w:sz="4" w:space="0"/>
            </w:tcBorders>
            <w:noWrap/>
            <w:vAlign w:val="center"/>
          </w:tcPr>
          <w:p>
            <w:pPr>
              <w:widowControl/>
              <w:jc w:val="left"/>
              <w:rPr>
                <w:kern w:val="0"/>
                <w:sz w:val="24"/>
              </w:rPr>
            </w:pPr>
          </w:p>
        </w:tc>
        <w:tc>
          <w:tcPr>
            <w:tcW w:w="971" w:type="dxa"/>
            <w:tcBorders>
              <w:top w:val="nil"/>
              <w:left w:val="nil"/>
              <w:bottom w:val="single" w:color="auto" w:sz="4" w:space="0"/>
              <w:right w:val="single" w:color="auto" w:sz="4" w:space="0"/>
            </w:tcBorders>
            <w:noWrap/>
            <w:vAlign w:val="center"/>
          </w:tcPr>
          <w:p>
            <w:pPr>
              <w:widowControl/>
              <w:jc w:val="left"/>
              <w:rPr>
                <w:kern w:val="0"/>
                <w:sz w:val="24"/>
              </w:rPr>
            </w:pPr>
          </w:p>
        </w:tc>
        <w:tc>
          <w:tcPr>
            <w:tcW w:w="1147" w:type="dxa"/>
            <w:tcBorders>
              <w:top w:val="nil"/>
              <w:left w:val="nil"/>
              <w:bottom w:val="single" w:color="auto" w:sz="4" w:space="0"/>
              <w:right w:val="single" w:color="auto" w:sz="4" w:space="0"/>
            </w:tcBorders>
            <w:noWrap/>
            <w:vAlign w:val="center"/>
          </w:tcPr>
          <w:p>
            <w:pPr>
              <w:widowControl/>
              <w:jc w:val="left"/>
              <w:rPr>
                <w:kern w:val="0"/>
                <w:sz w:val="24"/>
              </w:rPr>
            </w:pPr>
          </w:p>
        </w:tc>
        <w:tc>
          <w:tcPr>
            <w:tcW w:w="1676" w:type="dxa"/>
            <w:tcBorders>
              <w:top w:val="nil"/>
              <w:left w:val="nil"/>
              <w:bottom w:val="single" w:color="auto" w:sz="4" w:space="0"/>
              <w:right w:val="single" w:color="auto" w:sz="4" w:space="0"/>
            </w:tcBorders>
            <w:noWrap/>
            <w:vAlign w:val="center"/>
          </w:tcPr>
          <w:p>
            <w:pPr>
              <w:widowControl/>
              <w:jc w:val="left"/>
              <w:rPr>
                <w:kern w:val="0"/>
                <w:sz w:val="24"/>
              </w:rPr>
            </w:pPr>
          </w:p>
        </w:tc>
        <w:tc>
          <w:tcPr>
            <w:tcW w:w="1468" w:type="dxa"/>
            <w:tcBorders>
              <w:top w:val="nil"/>
              <w:left w:val="nil"/>
              <w:bottom w:val="single" w:color="auto" w:sz="4" w:space="0"/>
              <w:right w:val="single" w:color="auto" w:sz="4" w:space="0"/>
            </w:tcBorders>
            <w:vAlign w:val="center"/>
          </w:tcPr>
          <w:p>
            <w:pPr>
              <w:widowControl/>
              <w:jc w:val="left"/>
              <w:rPr>
                <w:kern w:val="0"/>
                <w:sz w:val="24"/>
              </w:rPr>
            </w:pPr>
          </w:p>
        </w:tc>
        <w:tc>
          <w:tcPr>
            <w:tcW w:w="966" w:type="dxa"/>
            <w:tcBorders>
              <w:top w:val="nil"/>
              <w:left w:val="nil"/>
              <w:bottom w:val="single" w:color="auto" w:sz="4" w:space="0"/>
              <w:right w:val="single" w:color="auto" w:sz="4" w:space="0"/>
            </w:tcBorders>
            <w:vAlign w:val="center"/>
          </w:tcPr>
          <w:p>
            <w:pPr>
              <w:widowControl/>
              <w:jc w:val="left"/>
              <w:rPr>
                <w:kern w:val="0"/>
                <w:sz w:val="24"/>
              </w:rPr>
            </w:pPr>
          </w:p>
        </w:tc>
        <w:tc>
          <w:tcPr>
            <w:tcW w:w="1263" w:type="dxa"/>
            <w:tcBorders>
              <w:top w:val="nil"/>
              <w:left w:val="nil"/>
              <w:bottom w:val="single" w:color="auto" w:sz="4" w:space="0"/>
              <w:right w:val="single" w:color="auto" w:sz="4" w:space="0"/>
            </w:tcBorders>
            <w:vAlign w:val="center"/>
          </w:tcPr>
          <w:p>
            <w:pPr>
              <w:widowControl/>
              <w:jc w:val="left"/>
              <w:rPr>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kern w:val="0"/>
                <w:sz w:val="24"/>
              </w:rPr>
            </w:pPr>
          </w:p>
        </w:tc>
        <w:tc>
          <w:tcPr>
            <w:tcW w:w="1984"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312" w:hRule="atLeast"/>
          <w:jc w:val="center"/>
        </w:trPr>
        <w:tc>
          <w:tcPr>
            <w:tcW w:w="85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054" w:type="dxa"/>
            <w:tcBorders>
              <w:top w:val="nil"/>
              <w:left w:val="nil"/>
              <w:bottom w:val="single" w:color="auto" w:sz="4" w:space="0"/>
              <w:right w:val="single" w:color="auto" w:sz="4" w:space="0"/>
            </w:tcBorders>
            <w:noWrap/>
            <w:vAlign w:val="center"/>
          </w:tcPr>
          <w:p>
            <w:pPr>
              <w:widowControl/>
              <w:jc w:val="left"/>
              <w:rPr>
                <w:kern w:val="0"/>
                <w:sz w:val="24"/>
              </w:rPr>
            </w:pPr>
          </w:p>
        </w:tc>
        <w:tc>
          <w:tcPr>
            <w:tcW w:w="1297" w:type="dxa"/>
            <w:tcBorders>
              <w:top w:val="nil"/>
              <w:left w:val="nil"/>
              <w:bottom w:val="single" w:color="auto" w:sz="4" w:space="0"/>
              <w:right w:val="single" w:color="auto" w:sz="4" w:space="0"/>
            </w:tcBorders>
            <w:noWrap/>
            <w:vAlign w:val="center"/>
          </w:tcPr>
          <w:p>
            <w:pPr>
              <w:widowControl/>
              <w:jc w:val="left"/>
              <w:rPr>
                <w:kern w:val="0"/>
                <w:sz w:val="24"/>
              </w:rPr>
            </w:pPr>
          </w:p>
        </w:tc>
        <w:tc>
          <w:tcPr>
            <w:tcW w:w="971" w:type="dxa"/>
            <w:tcBorders>
              <w:top w:val="nil"/>
              <w:left w:val="nil"/>
              <w:bottom w:val="single" w:color="auto" w:sz="4" w:space="0"/>
              <w:right w:val="single" w:color="auto" w:sz="4" w:space="0"/>
            </w:tcBorders>
            <w:noWrap/>
            <w:vAlign w:val="center"/>
          </w:tcPr>
          <w:p>
            <w:pPr>
              <w:widowControl/>
              <w:jc w:val="left"/>
              <w:rPr>
                <w:kern w:val="0"/>
                <w:sz w:val="24"/>
              </w:rPr>
            </w:pPr>
          </w:p>
        </w:tc>
        <w:tc>
          <w:tcPr>
            <w:tcW w:w="1147" w:type="dxa"/>
            <w:tcBorders>
              <w:top w:val="nil"/>
              <w:left w:val="nil"/>
              <w:bottom w:val="single" w:color="auto" w:sz="4" w:space="0"/>
              <w:right w:val="single" w:color="auto" w:sz="4" w:space="0"/>
            </w:tcBorders>
            <w:noWrap/>
            <w:vAlign w:val="center"/>
          </w:tcPr>
          <w:p>
            <w:pPr>
              <w:widowControl/>
              <w:jc w:val="left"/>
              <w:rPr>
                <w:kern w:val="0"/>
                <w:sz w:val="24"/>
              </w:rPr>
            </w:pPr>
          </w:p>
        </w:tc>
        <w:tc>
          <w:tcPr>
            <w:tcW w:w="1676" w:type="dxa"/>
            <w:tcBorders>
              <w:top w:val="nil"/>
              <w:left w:val="nil"/>
              <w:bottom w:val="single" w:color="auto" w:sz="4" w:space="0"/>
              <w:right w:val="single" w:color="auto" w:sz="4" w:space="0"/>
            </w:tcBorders>
            <w:noWrap/>
            <w:vAlign w:val="center"/>
          </w:tcPr>
          <w:p>
            <w:pPr>
              <w:widowControl/>
              <w:jc w:val="left"/>
              <w:rPr>
                <w:kern w:val="0"/>
                <w:sz w:val="24"/>
              </w:rPr>
            </w:pPr>
          </w:p>
        </w:tc>
        <w:tc>
          <w:tcPr>
            <w:tcW w:w="1468" w:type="dxa"/>
            <w:tcBorders>
              <w:top w:val="nil"/>
              <w:left w:val="nil"/>
              <w:bottom w:val="single" w:color="auto" w:sz="4" w:space="0"/>
              <w:right w:val="single" w:color="auto" w:sz="4" w:space="0"/>
            </w:tcBorders>
            <w:vAlign w:val="center"/>
          </w:tcPr>
          <w:p>
            <w:pPr>
              <w:widowControl/>
              <w:jc w:val="left"/>
              <w:rPr>
                <w:kern w:val="0"/>
                <w:sz w:val="24"/>
              </w:rPr>
            </w:pPr>
          </w:p>
        </w:tc>
        <w:tc>
          <w:tcPr>
            <w:tcW w:w="966" w:type="dxa"/>
            <w:tcBorders>
              <w:top w:val="nil"/>
              <w:left w:val="nil"/>
              <w:bottom w:val="single" w:color="auto" w:sz="4" w:space="0"/>
              <w:right w:val="single" w:color="auto" w:sz="4" w:space="0"/>
            </w:tcBorders>
            <w:vAlign w:val="center"/>
          </w:tcPr>
          <w:p>
            <w:pPr>
              <w:widowControl/>
              <w:jc w:val="left"/>
              <w:rPr>
                <w:kern w:val="0"/>
                <w:sz w:val="24"/>
              </w:rPr>
            </w:pPr>
          </w:p>
        </w:tc>
        <w:tc>
          <w:tcPr>
            <w:tcW w:w="1263" w:type="dxa"/>
            <w:tcBorders>
              <w:top w:val="nil"/>
              <w:left w:val="nil"/>
              <w:bottom w:val="single" w:color="auto" w:sz="4" w:space="0"/>
              <w:right w:val="single" w:color="auto" w:sz="4" w:space="0"/>
            </w:tcBorders>
            <w:vAlign w:val="center"/>
          </w:tcPr>
          <w:p>
            <w:pPr>
              <w:widowControl/>
              <w:jc w:val="left"/>
              <w:rPr>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kern w:val="0"/>
                <w:sz w:val="24"/>
              </w:rPr>
            </w:pPr>
          </w:p>
        </w:tc>
        <w:tc>
          <w:tcPr>
            <w:tcW w:w="1984"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357" w:hRule="atLeast"/>
          <w:jc w:val="center"/>
        </w:trPr>
        <w:tc>
          <w:tcPr>
            <w:tcW w:w="85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054" w:type="dxa"/>
            <w:tcBorders>
              <w:top w:val="nil"/>
              <w:left w:val="nil"/>
              <w:bottom w:val="single" w:color="auto" w:sz="4" w:space="0"/>
              <w:right w:val="single" w:color="auto" w:sz="4" w:space="0"/>
            </w:tcBorders>
            <w:noWrap/>
            <w:vAlign w:val="center"/>
          </w:tcPr>
          <w:p>
            <w:pPr>
              <w:widowControl/>
              <w:jc w:val="left"/>
              <w:rPr>
                <w:kern w:val="0"/>
                <w:sz w:val="24"/>
              </w:rPr>
            </w:pPr>
          </w:p>
        </w:tc>
        <w:tc>
          <w:tcPr>
            <w:tcW w:w="1297" w:type="dxa"/>
            <w:tcBorders>
              <w:top w:val="nil"/>
              <w:left w:val="nil"/>
              <w:bottom w:val="single" w:color="auto" w:sz="4" w:space="0"/>
              <w:right w:val="single" w:color="auto" w:sz="4" w:space="0"/>
            </w:tcBorders>
            <w:noWrap/>
            <w:vAlign w:val="center"/>
          </w:tcPr>
          <w:p>
            <w:pPr>
              <w:widowControl/>
              <w:jc w:val="left"/>
              <w:rPr>
                <w:kern w:val="0"/>
                <w:sz w:val="24"/>
              </w:rPr>
            </w:pPr>
          </w:p>
        </w:tc>
        <w:tc>
          <w:tcPr>
            <w:tcW w:w="971" w:type="dxa"/>
            <w:tcBorders>
              <w:top w:val="nil"/>
              <w:left w:val="nil"/>
              <w:bottom w:val="single" w:color="auto" w:sz="4" w:space="0"/>
              <w:right w:val="single" w:color="auto" w:sz="4" w:space="0"/>
            </w:tcBorders>
            <w:noWrap/>
            <w:vAlign w:val="center"/>
          </w:tcPr>
          <w:p>
            <w:pPr>
              <w:widowControl/>
              <w:jc w:val="left"/>
              <w:rPr>
                <w:kern w:val="0"/>
                <w:sz w:val="24"/>
              </w:rPr>
            </w:pPr>
          </w:p>
        </w:tc>
        <w:tc>
          <w:tcPr>
            <w:tcW w:w="1147" w:type="dxa"/>
            <w:tcBorders>
              <w:top w:val="nil"/>
              <w:left w:val="nil"/>
              <w:bottom w:val="single" w:color="auto" w:sz="4" w:space="0"/>
              <w:right w:val="single" w:color="auto" w:sz="4" w:space="0"/>
            </w:tcBorders>
            <w:noWrap/>
            <w:vAlign w:val="center"/>
          </w:tcPr>
          <w:p>
            <w:pPr>
              <w:widowControl/>
              <w:jc w:val="left"/>
              <w:rPr>
                <w:kern w:val="0"/>
                <w:sz w:val="24"/>
              </w:rPr>
            </w:pPr>
          </w:p>
        </w:tc>
        <w:tc>
          <w:tcPr>
            <w:tcW w:w="1676" w:type="dxa"/>
            <w:tcBorders>
              <w:top w:val="nil"/>
              <w:left w:val="nil"/>
              <w:bottom w:val="single" w:color="auto" w:sz="4" w:space="0"/>
              <w:right w:val="single" w:color="auto" w:sz="4" w:space="0"/>
            </w:tcBorders>
            <w:noWrap/>
            <w:vAlign w:val="center"/>
          </w:tcPr>
          <w:p>
            <w:pPr>
              <w:widowControl/>
              <w:jc w:val="left"/>
              <w:rPr>
                <w:kern w:val="0"/>
                <w:sz w:val="24"/>
              </w:rPr>
            </w:pPr>
          </w:p>
        </w:tc>
        <w:tc>
          <w:tcPr>
            <w:tcW w:w="1468" w:type="dxa"/>
            <w:tcBorders>
              <w:top w:val="nil"/>
              <w:left w:val="nil"/>
              <w:bottom w:val="single" w:color="auto" w:sz="4" w:space="0"/>
              <w:right w:val="single" w:color="auto" w:sz="4" w:space="0"/>
            </w:tcBorders>
            <w:vAlign w:val="center"/>
          </w:tcPr>
          <w:p>
            <w:pPr>
              <w:widowControl/>
              <w:jc w:val="left"/>
              <w:rPr>
                <w:kern w:val="0"/>
                <w:sz w:val="24"/>
              </w:rPr>
            </w:pPr>
          </w:p>
        </w:tc>
        <w:tc>
          <w:tcPr>
            <w:tcW w:w="966" w:type="dxa"/>
            <w:tcBorders>
              <w:top w:val="nil"/>
              <w:left w:val="nil"/>
              <w:bottom w:val="single" w:color="auto" w:sz="4" w:space="0"/>
              <w:right w:val="single" w:color="auto" w:sz="4" w:space="0"/>
            </w:tcBorders>
            <w:vAlign w:val="center"/>
          </w:tcPr>
          <w:p>
            <w:pPr>
              <w:widowControl/>
              <w:jc w:val="left"/>
              <w:rPr>
                <w:kern w:val="0"/>
                <w:sz w:val="24"/>
              </w:rPr>
            </w:pPr>
          </w:p>
        </w:tc>
        <w:tc>
          <w:tcPr>
            <w:tcW w:w="1263" w:type="dxa"/>
            <w:tcBorders>
              <w:top w:val="nil"/>
              <w:left w:val="nil"/>
              <w:bottom w:val="single" w:color="auto" w:sz="4" w:space="0"/>
              <w:right w:val="single" w:color="auto" w:sz="4" w:space="0"/>
            </w:tcBorders>
            <w:vAlign w:val="center"/>
          </w:tcPr>
          <w:p>
            <w:pPr>
              <w:widowControl/>
              <w:jc w:val="left"/>
              <w:rPr>
                <w:kern w:val="0"/>
                <w:sz w:val="24"/>
              </w:rPr>
            </w:pPr>
          </w:p>
        </w:tc>
        <w:tc>
          <w:tcPr>
            <w:tcW w:w="1276" w:type="dxa"/>
            <w:tcBorders>
              <w:top w:val="nil"/>
              <w:left w:val="nil"/>
              <w:bottom w:val="single" w:color="auto" w:sz="4" w:space="0"/>
              <w:right w:val="single" w:color="auto" w:sz="4" w:space="0"/>
            </w:tcBorders>
            <w:noWrap/>
            <w:vAlign w:val="center"/>
          </w:tcPr>
          <w:p>
            <w:pPr>
              <w:widowControl/>
              <w:jc w:val="left"/>
              <w:rPr>
                <w:kern w:val="0"/>
                <w:sz w:val="24"/>
              </w:rPr>
            </w:pPr>
          </w:p>
        </w:tc>
        <w:tc>
          <w:tcPr>
            <w:tcW w:w="1984"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1944" w:hRule="atLeast"/>
          <w:jc w:val="center"/>
        </w:trPr>
        <w:tc>
          <w:tcPr>
            <w:tcW w:w="12972" w:type="dxa"/>
            <w:gridSpan w:val="10"/>
            <w:tcBorders>
              <w:top w:val="single" w:color="auto" w:sz="4" w:space="0"/>
              <w:left w:val="nil"/>
              <w:bottom w:val="nil"/>
              <w:right w:val="nil"/>
            </w:tcBorders>
            <w:vAlign w:val="center"/>
          </w:tcPr>
          <w:p>
            <w:pPr>
              <w:widowControl/>
              <w:jc w:val="left"/>
              <w:rPr>
                <w:kern w:val="0"/>
                <w:sz w:val="24"/>
              </w:rPr>
            </w:pPr>
            <w:r>
              <w:rPr>
                <w:kern w:val="0"/>
                <w:sz w:val="24"/>
              </w:rPr>
              <w:t>填表说明：</w:t>
            </w:r>
            <w:r>
              <w:rPr>
                <w:kern w:val="0"/>
                <w:sz w:val="24"/>
              </w:rPr>
              <w:br w:type="textWrapping"/>
            </w:r>
            <w:r>
              <w:rPr>
                <w:kern w:val="0"/>
                <w:sz w:val="24"/>
              </w:rPr>
              <w:t xml:space="preserve">1.服务内容是指医疗机构开展的医保业务。 </w:t>
            </w:r>
            <w:r>
              <w:rPr>
                <w:kern w:val="0"/>
                <w:sz w:val="24"/>
              </w:rPr>
              <w:br w:type="textWrapping"/>
            </w:r>
            <w:r>
              <w:rPr>
                <w:kern w:val="0"/>
                <w:sz w:val="24"/>
              </w:rPr>
              <w:t xml:space="preserve">2.所有制类型是指公立、民营。                                                                                                          3.性质是指营利性、非营利性。  </w:t>
            </w:r>
            <w:r>
              <w:rPr>
                <w:kern w:val="0"/>
                <w:sz w:val="24"/>
              </w:rPr>
              <w:br w:type="textWrapping"/>
            </w:r>
            <w:r>
              <w:rPr>
                <w:kern w:val="0"/>
                <w:sz w:val="24"/>
              </w:rPr>
              <w:t>4.类别是指医疗机构类别，例如综合医院、中医医院、专科医院等。</w:t>
            </w:r>
          </w:p>
        </w:tc>
        <w:tc>
          <w:tcPr>
            <w:tcW w:w="1984" w:type="dxa"/>
            <w:noWrap/>
            <w:vAlign w:val="center"/>
          </w:tcPr>
          <w:p>
            <w:pPr>
              <w:widowControl/>
              <w:jc w:val="left"/>
              <w:rPr>
                <w:kern w:val="0"/>
                <w:sz w:val="24"/>
              </w:rPr>
            </w:pPr>
          </w:p>
        </w:tc>
      </w:tr>
    </w:tbl>
    <w:p>
      <w:pPr>
        <w:rPr>
          <w:rFonts w:eastAsia="黑体"/>
          <w:sz w:val="32"/>
          <w:szCs w:val="32"/>
        </w:rPr>
      </w:pPr>
    </w:p>
    <w:p>
      <w:pPr>
        <w:rPr>
          <w:rFonts w:eastAsia="黑体"/>
          <w:sz w:val="32"/>
          <w:szCs w:val="32"/>
        </w:rPr>
      </w:pPr>
    </w:p>
    <w:p>
      <w:pPr>
        <w:rPr>
          <w:rFonts w:eastAsia="黑体"/>
          <w:sz w:val="32"/>
          <w:szCs w:val="32"/>
        </w:rPr>
      </w:pPr>
      <w:r>
        <w:rPr>
          <w:rFonts w:eastAsia="黑体"/>
          <w:sz w:val="32"/>
          <w:szCs w:val="32"/>
        </w:rPr>
        <w:t>附件6</w:t>
      </w:r>
    </w:p>
    <w:p>
      <w:pPr>
        <w:jc w:val="center"/>
        <w:rPr>
          <w:rFonts w:eastAsia="方正小标宋简体"/>
          <w:sz w:val="44"/>
          <w:szCs w:val="44"/>
        </w:rPr>
      </w:pPr>
      <w:r>
        <w:rPr>
          <w:rFonts w:eastAsia="方正小标宋简体"/>
          <w:sz w:val="44"/>
          <w:szCs w:val="44"/>
        </w:rPr>
        <w:t>眉山市医疗保障定点零售药店备案表</w:t>
      </w:r>
    </w:p>
    <w:tbl>
      <w:tblPr>
        <w:tblStyle w:val="5"/>
        <w:tblW w:w="13892" w:type="dxa"/>
        <w:jc w:val="center"/>
        <w:tblLayout w:type="autofit"/>
        <w:tblCellMar>
          <w:top w:w="0" w:type="dxa"/>
          <w:left w:w="108" w:type="dxa"/>
          <w:bottom w:w="0" w:type="dxa"/>
          <w:right w:w="108" w:type="dxa"/>
        </w:tblCellMar>
      </w:tblPr>
      <w:tblGrid>
        <w:gridCol w:w="1134"/>
        <w:gridCol w:w="2484"/>
        <w:gridCol w:w="2052"/>
        <w:gridCol w:w="3686"/>
        <w:gridCol w:w="2268"/>
        <w:gridCol w:w="2268"/>
      </w:tblGrid>
      <w:tr>
        <w:tblPrEx>
          <w:tblCellMar>
            <w:top w:w="0" w:type="dxa"/>
            <w:left w:w="108" w:type="dxa"/>
            <w:bottom w:w="0" w:type="dxa"/>
            <w:right w:w="108" w:type="dxa"/>
          </w:tblCellMar>
        </w:tblPrEx>
        <w:trPr>
          <w:trHeight w:val="480" w:hRule="atLeast"/>
          <w:jc w:val="center"/>
        </w:trPr>
        <w:tc>
          <w:tcPr>
            <w:tcW w:w="13892" w:type="dxa"/>
            <w:gridSpan w:val="6"/>
            <w:tcBorders>
              <w:top w:val="nil"/>
              <w:left w:val="nil"/>
              <w:bottom w:val="single" w:color="auto" w:sz="4" w:space="0"/>
              <w:right w:val="nil"/>
            </w:tcBorders>
            <w:noWrap/>
            <w:vAlign w:val="center"/>
          </w:tcPr>
          <w:p>
            <w:pPr>
              <w:widowControl/>
              <w:jc w:val="left"/>
              <w:rPr>
                <w:kern w:val="0"/>
                <w:sz w:val="28"/>
                <w:szCs w:val="28"/>
              </w:rPr>
            </w:pPr>
            <w:r>
              <w:rPr>
                <w:kern w:val="0"/>
                <w:sz w:val="28"/>
                <w:szCs w:val="28"/>
              </w:rPr>
              <w:t>填报单位：（盖章）                                                        填报日期：</w:t>
            </w:r>
          </w:p>
        </w:tc>
      </w:tr>
      <w:tr>
        <w:tblPrEx>
          <w:tblCellMar>
            <w:top w:w="0" w:type="dxa"/>
            <w:left w:w="108" w:type="dxa"/>
            <w:bottom w:w="0" w:type="dxa"/>
            <w:right w:w="108" w:type="dxa"/>
          </w:tblCellMar>
        </w:tblPrEx>
        <w:trPr>
          <w:trHeight w:val="651"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eastAsia="黑体"/>
                <w:kern w:val="0"/>
                <w:sz w:val="28"/>
                <w:szCs w:val="28"/>
              </w:rPr>
            </w:pPr>
            <w:r>
              <w:rPr>
                <w:rFonts w:eastAsia="黑体"/>
                <w:kern w:val="0"/>
                <w:sz w:val="28"/>
                <w:szCs w:val="28"/>
              </w:rPr>
              <w:t>序号</w:t>
            </w:r>
          </w:p>
        </w:tc>
        <w:tc>
          <w:tcPr>
            <w:tcW w:w="2484" w:type="dxa"/>
            <w:tcBorders>
              <w:top w:val="nil"/>
              <w:left w:val="nil"/>
              <w:bottom w:val="single" w:color="auto" w:sz="4" w:space="0"/>
              <w:right w:val="single" w:color="auto" w:sz="4" w:space="0"/>
            </w:tcBorders>
            <w:noWrap/>
            <w:vAlign w:val="center"/>
          </w:tcPr>
          <w:p>
            <w:pPr>
              <w:widowControl/>
              <w:jc w:val="center"/>
              <w:rPr>
                <w:rFonts w:eastAsia="黑体"/>
                <w:kern w:val="0"/>
                <w:sz w:val="28"/>
                <w:szCs w:val="28"/>
              </w:rPr>
            </w:pPr>
            <w:r>
              <w:rPr>
                <w:rFonts w:eastAsia="黑体"/>
                <w:kern w:val="0"/>
                <w:sz w:val="28"/>
                <w:szCs w:val="28"/>
              </w:rPr>
              <w:t>药店名称</w:t>
            </w:r>
          </w:p>
        </w:tc>
        <w:tc>
          <w:tcPr>
            <w:tcW w:w="2052" w:type="dxa"/>
            <w:tcBorders>
              <w:top w:val="nil"/>
              <w:left w:val="nil"/>
              <w:bottom w:val="single" w:color="auto" w:sz="4" w:space="0"/>
              <w:right w:val="single" w:color="auto" w:sz="4" w:space="0"/>
            </w:tcBorders>
            <w:noWrap/>
            <w:vAlign w:val="center"/>
          </w:tcPr>
          <w:p>
            <w:pPr>
              <w:widowControl/>
              <w:jc w:val="center"/>
              <w:rPr>
                <w:rFonts w:eastAsia="黑体"/>
                <w:kern w:val="0"/>
                <w:sz w:val="28"/>
                <w:szCs w:val="28"/>
              </w:rPr>
            </w:pPr>
            <w:r>
              <w:rPr>
                <w:rFonts w:eastAsia="黑体"/>
                <w:kern w:val="0"/>
                <w:sz w:val="28"/>
                <w:szCs w:val="28"/>
              </w:rPr>
              <w:t>地址</w:t>
            </w:r>
          </w:p>
        </w:tc>
        <w:tc>
          <w:tcPr>
            <w:tcW w:w="3686" w:type="dxa"/>
            <w:tcBorders>
              <w:top w:val="nil"/>
              <w:left w:val="nil"/>
              <w:bottom w:val="single" w:color="auto" w:sz="4" w:space="0"/>
              <w:right w:val="single" w:color="auto" w:sz="4" w:space="0"/>
            </w:tcBorders>
            <w:vAlign w:val="center"/>
          </w:tcPr>
          <w:p>
            <w:pPr>
              <w:widowControl/>
              <w:jc w:val="center"/>
              <w:rPr>
                <w:rFonts w:eastAsia="黑体"/>
                <w:kern w:val="0"/>
                <w:sz w:val="28"/>
                <w:szCs w:val="28"/>
              </w:rPr>
            </w:pPr>
            <w:r>
              <w:rPr>
                <w:rFonts w:eastAsia="黑体"/>
                <w:kern w:val="0"/>
                <w:sz w:val="28"/>
                <w:szCs w:val="28"/>
              </w:rPr>
              <w:t xml:space="preserve">服务内容      </w:t>
            </w:r>
          </w:p>
        </w:tc>
        <w:tc>
          <w:tcPr>
            <w:tcW w:w="2268" w:type="dxa"/>
            <w:tcBorders>
              <w:top w:val="nil"/>
              <w:left w:val="nil"/>
              <w:bottom w:val="single" w:color="auto" w:sz="4" w:space="0"/>
              <w:right w:val="single" w:color="auto" w:sz="4" w:space="0"/>
            </w:tcBorders>
            <w:noWrap/>
            <w:vAlign w:val="center"/>
          </w:tcPr>
          <w:p>
            <w:pPr>
              <w:widowControl/>
              <w:jc w:val="center"/>
              <w:rPr>
                <w:rFonts w:eastAsia="黑体"/>
                <w:kern w:val="0"/>
                <w:sz w:val="28"/>
                <w:szCs w:val="28"/>
              </w:rPr>
            </w:pPr>
            <w:r>
              <w:rPr>
                <w:rFonts w:eastAsia="黑体"/>
                <w:kern w:val="0"/>
                <w:sz w:val="28"/>
                <w:szCs w:val="28"/>
              </w:rPr>
              <w:t>负责人</w:t>
            </w:r>
          </w:p>
        </w:tc>
        <w:tc>
          <w:tcPr>
            <w:tcW w:w="2268" w:type="dxa"/>
            <w:tcBorders>
              <w:top w:val="nil"/>
              <w:left w:val="nil"/>
              <w:bottom w:val="single" w:color="auto" w:sz="4" w:space="0"/>
              <w:right w:val="single" w:color="auto" w:sz="4" w:space="0"/>
            </w:tcBorders>
            <w:noWrap/>
            <w:vAlign w:val="center"/>
          </w:tcPr>
          <w:p>
            <w:pPr>
              <w:widowControl/>
              <w:jc w:val="center"/>
              <w:rPr>
                <w:rFonts w:eastAsia="黑体"/>
                <w:kern w:val="0"/>
                <w:sz w:val="28"/>
                <w:szCs w:val="28"/>
              </w:rPr>
            </w:pPr>
            <w:r>
              <w:rPr>
                <w:rFonts w:eastAsia="黑体"/>
                <w:kern w:val="0"/>
                <w:sz w:val="28"/>
                <w:szCs w:val="28"/>
              </w:rPr>
              <w:t>联系电话</w:t>
            </w:r>
          </w:p>
        </w:tc>
      </w:tr>
      <w:tr>
        <w:tblPrEx>
          <w:tblCellMar>
            <w:top w:w="0" w:type="dxa"/>
            <w:left w:w="108" w:type="dxa"/>
            <w:bottom w:w="0" w:type="dxa"/>
            <w:right w:w="108" w:type="dxa"/>
          </w:tblCellMar>
        </w:tblPrEx>
        <w:trPr>
          <w:trHeight w:val="263"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484" w:type="dxa"/>
            <w:tcBorders>
              <w:top w:val="nil"/>
              <w:left w:val="nil"/>
              <w:bottom w:val="single" w:color="auto" w:sz="4" w:space="0"/>
              <w:right w:val="single" w:color="auto" w:sz="4" w:space="0"/>
            </w:tcBorders>
            <w:noWrap/>
            <w:vAlign w:val="center"/>
          </w:tcPr>
          <w:p>
            <w:pPr>
              <w:widowControl/>
              <w:jc w:val="left"/>
              <w:rPr>
                <w:kern w:val="0"/>
                <w:sz w:val="24"/>
              </w:rPr>
            </w:pPr>
          </w:p>
        </w:tc>
        <w:tc>
          <w:tcPr>
            <w:tcW w:w="2052" w:type="dxa"/>
            <w:tcBorders>
              <w:top w:val="nil"/>
              <w:left w:val="nil"/>
              <w:bottom w:val="single" w:color="auto" w:sz="4" w:space="0"/>
              <w:right w:val="single" w:color="auto" w:sz="4" w:space="0"/>
            </w:tcBorders>
            <w:noWrap/>
            <w:vAlign w:val="center"/>
          </w:tcPr>
          <w:p>
            <w:pPr>
              <w:widowControl/>
              <w:jc w:val="left"/>
              <w:rPr>
                <w:kern w:val="0"/>
                <w:sz w:val="24"/>
              </w:rPr>
            </w:pPr>
          </w:p>
        </w:tc>
        <w:tc>
          <w:tcPr>
            <w:tcW w:w="3686"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226"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484" w:type="dxa"/>
            <w:tcBorders>
              <w:top w:val="nil"/>
              <w:left w:val="nil"/>
              <w:bottom w:val="single" w:color="auto" w:sz="4" w:space="0"/>
              <w:right w:val="single" w:color="auto" w:sz="4" w:space="0"/>
            </w:tcBorders>
            <w:noWrap/>
            <w:vAlign w:val="center"/>
          </w:tcPr>
          <w:p>
            <w:pPr>
              <w:widowControl/>
              <w:jc w:val="left"/>
              <w:rPr>
                <w:kern w:val="0"/>
                <w:sz w:val="24"/>
              </w:rPr>
            </w:pPr>
          </w:p>
        </w:tc>
        <w:tc>
          <w:tcPr>
            <w:tcW w:w="2052" w:type="dxa"/>
            <w:tcBorders>
              <w:top w:val="nil"/>
              <w:left w:val="nil"/>
              <w:bottom w:val="single" w:color="auto" w:sz="4" w:space="0"/>
              <w:right w:val="single" w:color="auto" w:sz="4" w:space="0"/>
            </w:tcBorders>
            <w:noWrap/>
            <w:vAlign w:val="center"/>
          </w:tcPr>
          <w:p>
            <w:pPr>
              <w:widowControl/>
              <w:jc w:val="left"/>
              <w:rPr>
                <w:kern w:val="0"/>
                <w:sz w:val="24"/>
              </w:rPr>
            </w:pPr>
          </w:p>
        </w:tc>
        <w:tc>
          <w:tcPr>
            <w:tcW w:w="3686"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71"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484" w:type="dxa"/>
            <w:tcBorders>
              <w:top w:val="nil"/>
              <w:left w:val="nil"/>
              <w:bottom w:val="single" w:color="auto" w:sz="4" w:space="0"/>
              <w:right w:val="single" w:color="auto" w:sz="4" w:space="0"/>
            </w:tcBorders>
            <w:noWrap/>
            <w:vAlign w:val="center"/>
          </w:tcPr>
          <w:p>
            <w:pPr>
              <w:widowControl/>
              <w:jc w:val="left"/>
              <w:rPr>
                <w:kern w:val="0"/>
                <w:sz w:val="24"/>
              </w:rPr>
            </w:pPr>
          </w:p>
        </w:tc>
        <w:tc>
          <w:tcPr>
            <w:tcW w:w="2052" w:type="dxa"/>
            <w:tcBorders>
              <w:top w:val="nil"/>
              <w:left w:val="nil"/>
              <w:bottom w:val="single" w:color="auto" w:sz="4" w:space="0"/>
              <w:right w:val="single" w:color="auto" w:sz="4" w:space="0"/>
            </w:tcBorders>
            <w:noWrap/>
            <w:vAlign w:val="center"/>
          </w:tcPr>
          <w:p>
            <w:pPr>
              <w:widowControl/>
              <w:jc w:val="left"/>
              <w:rPr>
                <w:kern w:val="0"/>
                <w:sz w:val="24"/>
              </w:rPr>
            </w:pPr>
          </w:p>
        </w:tc>
        <w:tc>
          <w:tcPr>
            <w:tcW w:w="3686"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71"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484" w:type="dxa"/>
            <w:tcBorders>
              <w:top w:val="nil"/>
              <w:left w:val="nil"/>
              <w:bottom w:val="single" w:color="auto" w:sz="4" w:space="0"/>
              <w:right w:val="single" w:color="auto" w:sz="4" w:space="0"/>
            </w:tcBorders>
            <w:noWrap/>
            <w:vAlign w:val="center"/>
          </w:tcPr>
          <w:p>
            <w:pPr>
              <w:widowControl/>
              <w:jc w:val="left"/>
              <w:rPr>
                <w:kern w:val="0"/>
                <w:sz w:val="24"/>
              </w:rPr>
            </w:pPr>
          </w:p>
        </w:tc>
        <w:tc>
          <w:tcPr>
            <w:tcW w:w="2052" w:type="dxa"/>
            <w:tcBorders>
              <w:top w:val="nil"/>
              <w:left w:val="nil"/>
              <w:bottom w:val="single" w:color="auto" w:sz="4" w:space="0"/>
              <w:right w:val="single" w:color="auto" w:sz="4" w:space="0"/>
            </w:tcBorders>
            <w:noWrap/>
            <w:vAlign w:val="center"/>
          </w:tcPr>
          <w:p>
            <w:pPr>
              <w:widowControl/>
              <w:jc w:val="left"/>
              <w:rPr>
                <w:kern w:val="0"/>
                <w:sz w:val="24"/>
              </w:rPr>
            </w:pPr>
          </w:p>
        </w:tc>
        <w:tc>
          <w:tcPr>
            <w:tcW w:w="3686"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71"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484" w:type="dxa"/>
            <w:tcBorders>
              <w:top w:val="nil"/>
              <w:left w:val="nil"/>
              <w:bottom w:val="single" w:color="auto" w:sz="4" w:space="0"/>
              <w:right w:val="single" w:color="auto" w:sz="4" w:space="0"/>
            </w:tcBorders>
            <w:noWrap/>
            <w:vAlign w:val="center"/>
          </w:tcPr>
          <w:p>
            <w:pPr>
              <w:widowControl/>
              <w:jc w:val="left"/>
              <w:rPr>
                <w:kern w:val="0"/>
                <w:sz w:val="24"/>
              </w:rPr>
            </w:pPr>
          </w:p>
        </w:tc>
        <w:tc>
          <w:tcPr>
            <w:tcW w:w="2052" w:type="dxa"/>
            <w:tcBorders>
              <w:top w:val="nil"/>
              <w:left w:val="nil"/>
              <w:bottom w:val="single" w:color="auto" w:sz="4" w:space="0"/>
              <w:right w:val="single" w:color="auto" w:sz="4" w:space="0"/>
            </w:tcBorders>
            <w:noWrap/>
            <w:vAlign w:val="center"/>
          </w:tcPr>
          <w:p>
            <w:pPr>
              <w:widowControl/>
              <w:jc w:val="left"/>
              <w:rPr>
                <w:kern w:val="0"/>
                <w:sz w:val="24"/>
              </w:rPr>
            </w:pPr>
          </w:p>
        </w:tc>
        <w:tc>
          <w:tcPr>
            <w:tcW w:w="3686"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71"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484" w:type="dxa"/>
            <w:tcBorders>
              <w:top w:val="nil"/>
              <w:left w:val="nil"/>
              <w:bottom w:val="single" w:color="auto" w:sz="4" w:space="0"/>
              <w:right w:val="single" w:color="auto" w:sz="4" w:space="0"/>
            </w:tcBorders>
            <w:noWrap/>
            <w:vAlign w:val="center"/>
          </w:tcPr>
          <w:p>
            <w:pPr>
              <w:widowControl/>
              <w:jc w:val="left"/>
              <w:rPr>
                <w:kern w:val="0"/>
                <w:sz w:val="24"/>
              </w:rPr>
            </w:pPr>
          </w:p>
        </w:tc>
        <w:tc>
          <w:tcPr>
            <w:tcW w:w="2052" w:type="dxa"/>
            <w:tcBorders>
              <w:top w:val="nil"/>
              <w:left w:val="nil"/>
              <w:bottom w:val="single" w:color="auto" w:sz="4" w:space="0"/>
              <w:right w:val="single" w:color="auto" w:sz="4" w:space="0"/>
            </w:tcBorders>
            <w:noWrap/>
            <w:vAlign w:val="center"/>
          </w:tcPr>
          <w:p>
            <w:pPr>
              <w:widowControl/>
              <w:jc w:val="left"/>
              <w:rPr>
                <w:kern w:val="0"/>
                <w:sz w:val="24"/>
              </w:rPr>
            </w:pPr>
          </w:p>
        </w:tc>
        <w:tc>
          <w:tcPr>
            <w:tcW w:w="3686"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71"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kern w:val="0"/>
                <w:sz w:val="24"/>
              </w:rPr>
            </w:pPr>
          </w:p>
        </w:tc>
        <w:tc>
          <w:tcPr>
            <w:tcW w:w="2484" w:type="dxa"/>
            <w:tcBorders>
              <w:top w:val="nil"/>
              <w:left w:val="nil"/>
              <w:bottom w:val="single" w:color="auto" w:sz="4" w:space="0"/>
              <w:right w:val="single" w:color="auto" w:sz="4" w:space="0"/>
            </w:tcBorders>
            <w:noWrap/>
            <w:vAlign w:val="center"/>
          </w:tcPr>
          <w:p>
            <w:pPr>
              <w:widowControl/>
              <w:jc w:val="left"/>
              <w:rPr>
                <w:kern w:val="0"/>
                <w:sz w:val="24"/>
              </w:rPr>
            </w:pPr>
          </w:p>
        </w:tc>
        <w:tc>
          <w:tcPr>
            <w:tcW w:w="2052" w:type="dxa"/>
            <w:tcBorders>
              <w:top w:val="nil"/>
              <w:left w:val="nil"/>
              <w:bottom w:val="single" w:color="auto" w:sz="4" w:space="0"/>
              <w:right w:val="single" w:color="auto" w:sz="4" w:space="0"/>
            </w:tcBorders>
            <w:noWrap/>
            <w:vAlign w:val="center"/>
          </w:tcPr>
          <w:p>
            <w:pPr>
              <w:widowControl/>
              <w:jc w:val="left"/>
              <w:rPr>
                <w:kern w:val="0"/>
                <w:sz w:val="24"/>
              </w:rPr>
            </w:pPr>
          </w:p>
        </w:tc>
        <w:tc>
          <w:tcPr>
            <w:tcW w:w="3686"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c>
          <w:tcPr>
            <w:tcW w:w="2268" w:type="dxa"/>
            <w:tcBorders>
              <w:top w:val="nil"/>
              <w:left w:val="nil"/>
              <w:bottom w:val="single" w:color="auto" w:sz="4" w:space="0"/>
              <w:right w:val="single" w:color="auto" w:sz="4" w:space="0"/>
            </w:tcBorders>
            <w:noWrap/>
            <w:vAlign w:val="center"/>
          </w:tcPr>
          <w:p>
            <w:pPr>
              <w:widowControl/>
              <w:jc w:val="left"/>
              <w:rPr>
                <w:kern w:val="0"/>
                <w:sz w:val="24"/>
              </w:rPr>
            </w:pPr>
          </w:p>
        </w:tc>
      </w:tr>
      <w:tr>
        <w:tblPrEx>
          <w:tblCellMar>
            <w:top w:w="0" w:type="dxa"/>
            <w:left w:w="108" w:type="dxa"/>
            <w:bottom w:w="0" w:type="dxa"/>
            <w:right w:w="108" w:type="dxa"/>
          </w:tblCellMar>
        </w:tblPrEx>
        <w:trPr>
          <w:trHeight w:val="900" w:hRule="atLeast"/>
          <w:jc w:val="center"/>
        </w:trPr>
        <w:tc>
          <w:tcPr>
            <w:tcW w:w="13892" w:type="dxa"/>
            <w:gridSpan w:val="6"/>
            <w:tcBorders>
              <w:top w:val="single" w:color="auto" w:sz="4" w:space="0"/>
              <w:left w:val="nil"/>
              <w:bottom w:val="nil"/>
              <w:right w:val="nil"/>
            </w:tcBorders>
            <w:noWrap/>
            <w:vAlign w:val="center"/>
          </w:tcPr>
          <w:p>
            <w:pPr>
              <w:widowControl/>
              <w:jc w:val="left"/>
              <w:rPr>
                <w:kern w:val="0"/>
                <w:sz w:val="24"/>
              </w:rPr>
            </w:pPr>
            <w:r>
              <w:rPr>
                <w:kern w:val="0"/>
                <w:sz w:val="24"/>
              </w:rPr>
              <w:t>填表说明：服务内容是指零售药店开展的医保业务。</w:t>
            </w:r>
          </w:p>
        </w:tc>
      </w:tr>
    </w:tbl>
    <w:p>
      <w:pPr>
        <w:tabs>
          <w:tab w:val="left" w:pos="9096"/>
        </w:tabs>
        <w:sectPr>
          <w:pgSz w:w="16838" w:h="11906" w:orient="landscape"/>
          <w:pgMar w:top="1797" w:right="1440" w:bottom="1797" w:left="1440" w:header="851" w:footer="992" w:gutter="0"/>
          <w:cols w:space="425" w:num="1"/>
          <w:docGrid w:type="linesAndChars" w:linePitch="312" w:charSpace="0"/>
        </w:sectPr>
      </w:pPr>
      <w:r>
        <w:rPr>
          <w:rFonts w:eastAsia="黑体"/>
          <w:sz w:val="24"/>
        </w:rPr>
        <w:tab/>
      </w:r>
      <w:bookmarkStart w:id="0" w:name="_GoBack"/>
      <w:bookmarkEnd w:id="0"/>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960391"/>
      <w:docPartObj>
        <w:docPartGallery w:val="AutoText"/>
      </w:docPartObj>
    </w:sdtPr>
    <w:sdtContent>
      <w:p>
        <w:pPr>
          <w:pStyle w:val="2"/>
          <w:numPr>
            <w:ilvl w:val="0"/>
            <w:numId w:val="1"/>
          </w:numPr>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960401"/>
      <w:docPartObj>
        <w:docPartGallery w:val="AutoText"/>
      </w:docPartObj>
    </w:sdtPr>
    <w:sdtContent>
      <w:p>
        <w:pPr>
          <w:pStyle w:val="2"/>
          <w:numPr>
            <w:ilvl w:val="0"/>
            <w:numId w:val="2"/>
          </w:num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30</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30711"/>
    <w:multiLevelType w:val="multilevel"/>
    <w:tmpl w:val="35430711"/>
    <w:lvl w:ilvl="0" w:tentative="0">
      <w:start w:val="2"/>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6202485"/>
    <w:multiLevelType w:val="multilevel"/>
    <w:tmpl w:val="36202485"/>
    <w:lvl w:ilvl="0" w:tentative="0">
      <w:start w:val="1"/>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4138"/>
    <w:rsid w:val="00040866"/>
    <w:rsid w:val="000432D8"/>
    <w:rsid w:val="000638CF"/>
    <w:rsid w:val="0008088F"/>
    <w:rsid w:val="00080D7F"/>
    <w:rsid w:val="0016717F"/>
    <w:rsid w:val="00200834"/>
    <w:rsid w:val="0024484F"/>
    <w:rsid w:val="00266456"/>
    <w:rsid w:val="00276D3C"/>
    <w:rsid w:val="0032172F"/>
    <w:rsid w:val="003364D1"/>
    <w:rsid w:val="00351662"/>
    <w:rsid w:val="0035508F"/>
    <w:rsid w:val="00355F41"/>
    <w:rsid w:val="0036275D"/>
    <w:rsid w:val="0036607C"/>
    <w:rsid w:val="00382579"/>
    <w:rsid w:val="003C5E20"/>
    <w:rsid w:val="003E68AB"/>
    <w:rsid w:val="00424BBF"/>
    <w:rsid w:val="00454439"/>
    <w:rsid w:val="0049049E"/>
    <w:rsid w:val="00492C04"/>
    <w:rsid w:val="004A0F40"/>
    <w:rsid w:val="0051261E"/>
    <w:rsid w:val="00586673"/>
    <w:rsid w:val="00587095"/>
    <w:rsid w:val="005D4B46"/>
    <w:rsid w:val="00614738"/>
    <w:rsid w:val="00624138"/>
    <w:rsid w:val="00665F3B"/>
    <w:rsid w:val="00667FDE"/>
    <w:rsid w:val="00687B7F"/>
    <w:rsid w:val="006A3720"/>
    <w:rsid w:val="007262F4"/>
    <w:rsid w:val="007345C9"/>
    <w:rsid w:val="00766776"/>
    <w:rsid w:val="008D6E60"/>
    <w:rsid w:val="008F41E9"/>
    <w:rsid w:val="00950372"/>
    <w:rsid w:val="00956614"/>
    <w:rsid w:val="00985044"/>
    <w:rsid w:val="009C1DD8"/>
    <w:rsid w:val="009E49CD"/>
    <w:rsid w:val="00A24A43"/>
    <w:rsid w:val="00A47E86"/>
    <w:rsid w:val="00A804A2"/>
    <w:rsid w:val="00B172A1"/>
    <w:rsid w:val="00B32873"/>
    <w:rsid w:val="00BB5404"/>
    <w:rsid w:val="00BF06ED"/>
    <w:rsid w:val="00C167A9"/>
    <w:rsid w:val="00C24653"/>
    <w:rsid w:val="00C46FD7"/>
    <w:rsid w:val="00C73EEF"/>
    <w:rsid w:val="00C960DF"/>
    <w:rsid w:val="00CC0163"/>
    <w:rsid w:val="00D207AF"/>
    <w:rsid w:val="00D210BF"/>
    <w:rsid w:val="00D4186A"/>
    <w:rsid w:val="00E000E7"/>
    <w:rsid w:val="00E774C1"/>
    <w:rsid w:val="00EA6FDF"/>
    <w:rsid w:val="00F546A3"/>
    <w:rsid w:val="00F81103"/>
    <w:rsid w:val="4BFE2888"/>
    <w:rsid w:val="75A2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link w:val="9"/>
    <w:semiHidden/>
    <w:unhideWhenUsed/>
    <w:qFormat/>
    <w:uiPriority w:val="0"/>
    <w:pPr>
      <w:widowControl/>
      <w:spacing w:before="100" w:beforeAutospacing="1" w:after="100" w:afterAutospacing="1"/>
      <w:jc w:val="left"/>
    </w:pPr>
    <w:rPr>
      <w:rFonts w:ascii="宋体" w:hAnsi="宋体" w:cs="宋体"/>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普通(网站) Char"/>
    <w:basedOn w:val="6"/>
    <w:link w:val="4"/>
    <w:semiHidden/>
    <w:qFormat/>
    <w:locked/>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2614</Words>
  <Characters>14904</Characters>
  <Lines>124</Lines>
  <Paragraphs>34</Paragraphs>
  <TotalTime>471</TotalTime>
  <ScaleCrop>false</ScaleCrop>
  <LinksUpToDate>false</LinksUpToDate>
  <CharactersWithSpaces>17484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2020-02-21T02:10:00Z</dcterms:created>
  <dc:creator>姚廷岗</dc:creator>
  <cp:lastModifiedBy>王大</cp:lastModifiedBy>
  <dcterms:modified xsi:type="dcterms:W3CDTF">2020-02-25T09:34:18Z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